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A192D" w14:textId="21D95CEF" w:rsidR="00FD5A30" w:rsidRPr="000E37DF" w:rsidRDefault="00FD5A30" w:rsidP="000E37DF">
      <w:pPr>
        <w:pStyle w:val="BookHeading3"/>
        <w:rPr>
          <w:lang w:val="it-IT"/>
        </w:rPr>
      </w:pPr>
      <w:proofErr w:type="spellStart"/>
      <w:r w:rsidRPr="000E37DF">
        <w:rPr>
          <w:lang w:val="it-IT"/>
        </w:rPr>
        <w:t>Conceptual</w:t>
      </w:r>
      <w:proofErr w:type="spellEnd"/>
      <w:r w:rsidRPr="000E37DF">
        <w:rPr>
          <w:lang w:val="it-IT"/>
        </w:rPr>
        <w:t xml:space="preserve"> Data </w:t>
      </w:r>
      <w:r w:rsidR="000E37DF" w:rsidRPr="000E37DF">
        <w:rPr>
          <w:lang w:val="it-IT"/>
        </w:rPr>
        <w:t xml:space="preserve">Model &amp; Data </w:t>
      </w:r>
      <w:r w:rsidRPr="000E37DF">
        <w:rPr>
          <w:lang w:val="it-IT"/>
        </w:rPr>
        <w:t>Dictionary</w:t>
      </w:r>
    </w:p>
    <w:p w14:paraId="02E90A24" w14:textId="77777777" w:rsidR="000E37DF" w:rsidRPr="00D54294" w:rsidRDefault="000E37DF" w:rsidP="000E37DF">
      <w:r w:rsidRPr="00D54294">
        <w:rPr>
          <w:b/>
          <w:bCs/>
        </w:rPr>
        <w:t>Grumpy Old IT Guy Publishers</w:t>
      </w:r>
      <w:r w:rsidRPr="00D54294">
        <w:t xml:space="preserve"> and </w:t>
      </w:r>
      <w:r w:rsidRPr="00D54294">
        <w:rPr>
          <w:b/>
          <w:bCs/>
        </w:rPr>
        <w:t>Angelo R. Bobak</w:t>
      </w:r>
      <w:r w:rsidRPr="00D54294">
        <w:t xml:space="preserve"> are independent educational content providers and are not affiliated with, endorsed by, sponsored by, or associated with Microsoft Corporation.</w:t>
      </w:r>
    </w:p>
    <w:p w14:paraId="4136BCBA" w14:textId="77777777" w:rsidR="000E37DF" w:rsidRPr="00D54294" w:rsidRDefault="000E37DF" w:rsidP="000E37DF">
      <w:r w:rsidRPr="00D54294">
        <w:t xml:space="preserve">All references to Microsoft technologies are used strictly for educational, instructional, commentary, and demonstration purposes under </w:t>
      </w:r>
      <w:r>
        <w:t>the principles of nominative fair use</w:t>
      </w:r>
      <w:r w:rsidRPr="00D54294">
        <w:t>.</w:t>
      </w:r>
    </w:p>
    <w:p w14:paraId="6BF30782" w14:textId="77777777" w:rsidR="000E37DF" w:rsidRDefault="000E37DF" w:rsidP="000E37DF">
      <w:r w:rsidRPr="00D54294">
        <w:t>Any screenshots, product references, feature descriptions, or code examples referencing Microsoft technologies are intended solely to help users learn database design, SQL development, and related technical concepts.</w:t>
      </w:r>
    </w:p>
    <w:p w14:paraId="6A85F94D" w14:textId="062EEE3C" w:rsidR="000E37DF" w:rsidRPr="000E37DF" w:rsidRDefault="000E37DF" w:rsidP="000E37DF">
      <w:r w:rsidRPr="000E37DF">
        <w:t xml:space="preserve">The High Frequency Trading Systems Data Model and SQL Server Toolkit is a professionally structured educational package designed for database developers, data architects, financial technologists, quantitative analysts, and students interested in the architecture of modern electronic trading systems. The product introduces the foundational concepts behind </w:t>
      </w:r>
      <w:r>
        <w:t>high-frequency</w:t>
      </w:r>
      <w:r w:rsidRPr="000E37DF">
        <w:t xml:space="preserve"> trading environments and demonstrates how complex trading activity can be represented using structured relational database models implemented in Microsoft SQL Server.</w:t>
      </w:r>
    </w:p>
    <w:p w14:paraId="30B9FC8E" w14:textId="37D78014" w:rsidR="000E37DF" w:rsidRPr="000E37DF" w:rsidRDefault="000E37DF" w:rsidP="000E37DF">
      <w:r w:rsidRPr="000E37DF">
        <w:t xml:space="preserve">High Frequency Trading, often referred to as HFT, is a specialized form of electronic trading in which automated systems process market data, generate trading decisions, route orders, and capture executions at extremely high speeds. These systems are designed to react to rapidly changing market conditions in fractions of a second while continuously monitoring prices, liquidity, latency, risk exposure, and trading profitability. Behind every successful HFT platform is a carefully engineered database structure </w:t>
      </w:r>
      <w:r>
        <w:t>that efficiently and accurately stores and analyzes massive amounts of transactional and market data</w:t>
      </w:r>
      <w:r w:rsidRPr="000E37DF">
        <w:t>.</w:t>
      </w:r>
    </w:p>
    <w:p w14:paraId="3808ACC4" w14:textId="77777777" w:rsidR="000E37DF" w:rsidRPr="000E37DF" w:rsidRDefault="000E37DF" w:rsidP="000E37DF">
      <w:r w:rsidRPr="000E37DF">
        <w:t>This product provides a complete educational framework that demonstrates how such a trading environment can be modeled using standard relational database techniques and Transact-SQL programming practices. The material has been designed for instructional purposes and is suitable for classroom demonstrations, technical workshops, independent learning, prototype development, and proof-of-concept implementations.</w:t>
      </w:r>
    </w:p>
    <w:p w14:paraId="3FD8ACA7" w14:textId="77777777" w:rsidR="000E37DF" w:rsidRPr="000E37DF" w:rsidRDefault="000E37DF" w:rsidP="000E37DF">
      <w:r w:rsidRPr="000E37DF">
        <w:t>The package includes a fully documented conceptual business model describing the major functional components commonly found in electronic trading environments, including trading venues, financial instruments, market data feeds, trading strategies, order management, executions, positions, latency monitoring, risk management, and profit-and-loss reporting. These business concepts are then translated into detailed logical and physical data models that illustrate how relationships between entities can be implemented within a normalized SQL Server database design.</w:t>
      </w:r>
    </w:p>
    <w:p w14:paraId="76644726" w14:textId="77777777" w:rsidR="000E37DF" w:rsidRPr="000E37DF" w:rsidRDefault="000E37DF" w:rsidP="000E37DF">
      <w:r w:rsidRPr="000E37DF">
        <w:lastRenderedPageBreak/>
        <w:t>In addition to the conceptual and logical models, the product contains detailed data dictionaries that document each entity, attribute, relationship, and business rule used throughout the system. These dictionaries help readers understand the purpose of each table and column while also serving as examples of professional metadata documentation standards commonly used in enterprise data management initiatives.</w:t>
      </w:r>
    </w:p>
    <w:p w14:paraId="3EF207DD" w14:textId="72E57E87" w:rsidR="000E37DF" w:rsidRPr="000E37DF" w:rsidRDefault="000E37DF" w:rsidP="000E37DF">
      <w:pPr>
        <w:rPr>
          <w:rFonts w:eastAsia="Times New Roman"/>
        </w:rPr>
      </w:pPr>
      <w:r w:rsidRPr="000E37DF">
        <w:rPr>
          <w:rFonts w:eastAsia="Times New Roman"/>
        </w:rPr>
        <w:t>Below is the conceptual d</w:t>
      </w:r>
      <w:r>
        <w:rPr>
          <w:rFonts w:eastAsia="Times New Roman"/>
        </w:rPr>
        <w:t>ata model design for this database.</w:t>
      </w:r>
    </w:p>
    <w:p w14:paraId="6574C0BE" w14:textId="77E24806" w:rsidR="00FD5A30" w:rsidRPr="000E37DF" w:rsidRDefault="000E37DF" w:rsidP="000E37DF">
      <w:pPr>
        <w:pStyle w:val="BookHeading3"/>
        <w:rPr>
          <w:lang w:val="it-IT"/>
        </w:rPr>
      </w:pPr>
      <w:proofErr w:type="spellStart"/>
      <w:r w:rsidRPr="000E37DF">
        <w:rPr>
          <w:lang w:val="it-IT"/>
        </w:rPr>
        <w:t>Conceptual</w:t>
      </w:r>
      <w:proofErr w:type="spellEnd"/>
      <w:r w:rsidRPr="000E37DF">
        <w:rPr>
          <w:lang w:val="it-IT"/>
        </w:rPr>
        <w:t xml:space="preserve"> </w:t>
      </w:r>
      <w:r w:rsidR="00FD5A30" w:rsidRPr="000E37DF">
        <w:rPr>
          <w:lang w:val="it-IT"/>
        </w:rPr>
        <w:t>Data Model</w:t>
      </w:r>
    </w:p>
    <w:p w14:paraId="6121C16C" w14:textId="646709AA" w:rsidR="00FD5A30" w:rsidRDefault="00FD5A30" w:rsidP="00FD5A30">
      <w:pPr>
        <w:spacing w:beforeAutospacing="1" w:after="100" w:afterAutospacing="1" w:line="240" w:lineRule="auto"/>
        <w:jc w:val="center"/>
        <w:outlineLvl w:val="1"/>
        <w:rPr>
          <w:rFonts w:eastAsia="Times New Roman" w:cs="Times New Roman"/>
          <w:b/>
          <w:bCs/>
          <w:kern w:val="0"/>
          <w:sz w:val="36"/>
          <w:szCs w:val="36"/>
          <w14:ligatures w14:val="none"/>
        </w:rPr>
      </w:pPr>
      <w:r>
        <w:rPr>
          <w:rFonts w:eastAsia="Times New Roman" w:cs="Times New Roman"/>
          <w:b/>
          <w:bCs/>
          <w:noProof/>
          <w:kern w:val="0"/>
          <w:sz w:val="36"/>
          <w:szCs w:val="36"/>
          <w14:ligatures w14:val="none"/>
        </w:rPr>
        <w:drawing>
          <wp:inline distT="0" distB="0" distL="0" distR="0" wp14:anchorId="7447D3C8" wp14:editId="32347E0F">
            <wp:extent cx="4829175" cy="3223474"/>
            <wp:effectExtent l="0" t="0" r="0" b="0"/>
            <wp:docPr id="534432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846607" cy="3235110"/>
                    </a:xfrm>
                    <a:prstGeom prst="rect">
                      <a:avLst/>
                    </a:prstGeom>
                    <a:noFill/>
                  </pic:spPr>
                </pic:pic>
              </a:graphicData>
            </a:graphic>
          </wp:inline>
        </w:drawing>
      </w:r>
    </w:p>
    <w:p w14:paraId="0DBC8A05" w14:textId="747CDF0A" w:rsidR="000E37DF" w:rsidRPr="000E37DF" w:rsidRDefault="000E37DF" w:rsidP="000E37DF">
      <w:pPr>
        <w:pStyle w:val="BookHeading3"/>
      </w:pPr>
      <w:r>
        <w:t>Entity Data Dictionary</w:t>
      </w:r>
    </w:p>
    <w:p w14:paraId="72D84E19" w14:textId="50179B5A" w:rsidR="00FD5A30" w:rsidRPr="00FD5A30" w:rsidRDefault="00FD5A30" w:rsidP="00FD5A30">
      <w:pPr>
        <w:rPr>
          <w:rFonts w:eastAsia="Times New Roman"/>
        </w:rPr>
      </w:pPr>
      <w:r>
        <w:rPr>
          <w:rFonts w:eastAsia="Times New Roman"/>
        </w:rPr>
        <w:t>Below are the descriptions for each entity.</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22"/>
        <w:gridCol w:w="7638"/>
      </w:tblGrid>
      <w:tr w:rsidR="00FD5A30" w:rsidRPr="00FD5A30" w14:paraId="541FE275" w14:textId="77777777" w:rsidTr="00FD5A30">
        <w:trPr>
          <w:tblHeader/>
          <w:tblCellSpacing w:w="15" w:type="dxa"/>
        </w:trPr>
        <w:tc>
          <w:tcPr>
            <w:tcW w:w="0" w:type="auto"/>
            <w:shd w:val="clear" w:color="auto" w:fill="F2F2F2" w:themeFill="background1" w:themeFillShade="F2"/>
            <w:vAlign w:val="center"/>
            <w:hideMark/>
          </w:tcPr>
          <w:p w14:paraId="4B131A5B" w14:textId="77777777" w:rsidR="00FD5A30" w:rsidRPr="00FD5A30" w:rsidRDefault="00FD5A30" w:rsidP="00FD5A30">
            <w:pPr>
              <w:spacing w:before="0" w:after="0" w:line="240" w:lineRule="auto"/>
              <w:jc w:val="center"/>
              <w:rPr>
                <w:rFonts w:eastAsia="Times New Roman" w:cs="Times New Roman"/>
                <w:b/>
                <w:bCs/>
                <w:kern w:val="0"/>
                <w:szCs w:val="24"/>
                <w14:ligatures w14:val="none"/>
              </w:rPr>
            </w:pPr>
            <w:r w:rsidRPr="00FD5A30">
              <w:rPr>
                <w:rFonts w:eastAsia="Times New Roman" w:cs="Times New Roman"/>
                <w:b/>
                <w:bCs/>
                <w:kern w:val="0"/>
                <w:szCs w:val="24"/>
                <w14:ligatures w14:val="none"/>
              </w:rPr>
              <w:t>Entity</w:t>
            </w:r>
          </w:p>
        </w:tc>
        <w:tc>
          <w:tcPr>
            <w:tcW w:w="0" w:type="auto"/>
            <w:shd w:val="clear" w:color="auto" w:fill="F2F2F2" w:themeFill="background1" w:themeFillShade="F2"/>
            <w:vAlign w:val="center"/>
            <w:hideMark/>
          </w:tcPr>
          <w:p w14:paraId="36E6ED06" w14:textId="77777777" w:rsidR="00FD5A30" w:rsidRPr="00FD5A30" w:rsidRDefault="00FD5A30" w:rsidP="00FD5A30">
            <w:pPr>
              <w:spacing w:before="0" w:after="0" w:line="240" w:lineRule="auto"/>
              <w:jc w:val="center"/>
              <w:rPr>
                <w:rFonts w:eastAsia="Times New Roman" w:cs="Times New Roman"/>
                <w:b/>
                <w:bCs/>
                <w:kern w:val="0"/>
                <w:szCs w:val="24"/>
                <w14:ligatures w14:val="none"/>
              </w:rPr>
            </w:pPr>
            <w:r w:rsidRPr="00FD5A30">
              <w:rPr>
                <w:rFonts w:eastAsia="Times New Roman" w:cs="Times New Roman"/>
                <w:b/>
                <w:bCs/>
                <w:kern w:val="0"/>
                <w:szCs w:val="24"/>
                <w14:ligatures w14:val="none"/>
              </w:rPr>
              <w:t>Description</w:t>
            </w:r>
          </w:p>
        </w:tc>
      </w:tr>
      <w:tr w:rsidR="00FD5A30" w:rsidRPr="00FD5A30" w14:paraId="1706DA40" w14:textId="77777777">
        <w:trPr>
          <w:tblCellSpacing w:w="15" w:type="dxa"/>
        </w:trPr>
        <w:tc>
          <w:tcPr>
            <w:tcW w:w="0" w:type="auto"/>
            <w:vAlign w:val="center"/>
            <w:hideMark/>
          </w:tcPr>
          <w:p w14:paraId="663F9631" w14:textId="77777777" w:rsidR="00FD5A30" w:rsidRPr="00FD5A30" w:rsidRDefault="00FD5A30" w:rsidP="00FD5A30">
            <w:pPr>
              <w:spacing w:before="0" w:after="0" w:line="240" w:lineRule="auto"/>
              <w:rPr>
                <w:rFonts w:eastAsia="Times New Roman" w:cs="Times New Roman"/>
                <w:kern w:val="0"/>
                <w:szCs w:val="24"/>
                <w14:ligatures w14:val="none"/>
              </w:rPr>
            </w:pPr>
            <w:r w:rsidRPr="00FD5A30">
              <w:rPr>
                <w:rFonts w:eastAsia="Times New Roman" w:cs="Times New Roman"/>
                <w:kern w:val="0"/>
                <w:szCs w:val="24"/>
                <w14:ligatures w14:val="none"/>
              </w:rPr>
              <w:t>Trading Venue</w:t>
            </w:r>
          </w:p>
        </w:tc>
        <w:tc>
          <w:tcPr>
            <w:tcW w:w="0" w:type="auto"/>
            <w:vAlign w:val="center"/>
            <w:hideMark/>
          </w:tcPr>
          <w:p w14:paraId="3071C106" w14:textId="77777777" w:rsidR="00FD5A30" w:rsidRPr="00FD5A30" w:rsidRDefault="00FD5A30" w:rsidP="00FD5A30">
            <w:pPr>
              <w:spacing w:before="0" w:after="0" w:line="240" w:lineRule="auto"/>
              <w:rPr>
                <w:rFonts w:eastAsia="Times New Roman" w:cs="Times New Roman"/>
                <w:kern w:val="0"/>
                <w:szCs w:val="24"/>
                <w14:ligatures w14:val="none"/>
              </w:rPr>
            </w:pPr>
            <w:r w:rsidRPr="00FD5A30">
              <w:rPr>
                <w:rFonts w:eastAsia="Times New Roman" w:cs="Times New Roman"/>
                <w:kern w:val="0"/>
                <w:szCs w:val="24"/>
                <w14:ligatures w14:val="none"/>
              </w:rPr>
              <w:t>Represents an exchange, electronic communication network, alternative trading system, or other market destination where securities may be quoted, traded, or routed.</w:t>
            </w:r>
          </w:p>
        </w:tc>
      </w:tr>
      <w:tr w:rsidR="00FD5A30" w:rsidRPr="00FD5A30" w14:paraId="1312DD33" w14:textId="77777777">
        <w:trPr>
          <w:tblCellSpacing w:w="15" w:type="dxa"/>
        </w:trPr>
        <w:tc>
          <w:tcPr>
            <w:tcW w:w="0" w:type="auto"/>
            <w:vAlign w:val="center"/>
            <w:hideMark/>
          </w:tcPr>
          <w:p w14:paraId="7CEF7F45" w14:textId="77777777" w:rsidR="00FD5A30" w:rsidRPr="00FD5A30" w:rsidRDefault="00FD5A30" w:rsidP="00FD5A30">
            <w:pPr>
              <w:spacing w:before="0" w:after="0" w:line="240" w:lineRule="auto"/>
              <w:rPr>
                <w:rFonts w:eastAsia="Times New Roman" w:cs="Times New Roman"/>
                <w:kern w:val="0"/>
                <w:szCs w:val="24"/>
                <w14:ligatures w14:val="none"/>
              </w:rPr>
            </w:pPr>
            <w:r w:rsidRPr="00FD5A30">
              <w:rPr>
                <w:rFonts w:eastAsia="Times New Roman" w:cs="Times New Roman"/>
                <w:kern w:val="0"/>
                <w:szCs w:val="24"/>
                <w14:ligatures w14:val="none"/>
              </w:rPr>
              <w:t>Financial Instrument</w:t>
            </w:r>
          </w:p>
        </w:tc>
        <w:tc>
          <w:tcPr>
            <w:tcW w:w="0" w:type="auto"/>
            <w:vAlign w:val="center"/>
            <w:hideMark/>
          </w:tcPr>
          <w:p w14:paraId="0AF278D9" w14:textId="77777777" w:rsidR="00FD5A30" w:rsidRPr="00FD5A30" w:rsidRDefault="00FD5A30" w:rsidP="00FD5A30">
            <w:pPr>
              <w:spacing w:before="0" w:after="0" w:line="240" w:lineRule="auto"/>
              <w:rPr>
                <w:rFonts w:eastAsia="Times New Roman" w:cs="Times New Roman"/>
                <w:kern w:val="0"/>
                <w:szCs w:val="24"/>
                <w14:ligatures w14:val="none"/>
              </w:rPr>
            </w:pPr>
            <w:r w:rsidRPr="00FD5A30">
              <w:rPr>
                <w:rFonts w:eastAsia="Times New Roman" w:cs="Times New Roman"/>
                <w:kern w:val="0"/>
                <w:szCs w:val="24"/>
                <w14:ligatures w14:val="none"/>
              </w:rPr>
              <w:t xml:space="preserve">Represents a tradable security or asset, such as </w:t>
            </w:r>
            <w:proofErr w:type="gramStart"/>
            <w:r w:rsidRPr="00FD5A30">
              <w:rPr>
                <w:rFonts w:eastAsia="Times New Roman" w:cs="Times New Roman"/>
                <w:kern w:val="0"/>
                <w:szCs w:val="24"/>
                <w14:ligatures w14:val="none"/>
              </w:rPr>
              <w:t>an equity</w:t>
            </w:r>
            <w:proofErr w:type="gramEnd"/>
            <w:r w:rsidRPr="00FD5A30">
              <w:rPr>
                <w:rFonts w:eastAsia="Times New Roman" w:cs="Times New Roman"/>
                <w:kern w:val="0"/>
                <w:szCs w:val="24"/>
                <w14:ligatures w14:val="none"/>
              </w:rPr>
              <w:t>, ETF, futures contract, option, currency pair, or other market product.</w:t>
            </w:r>
          </w:p>
        </w:tc>
      </w:tr>
      <w:tr w:rsidR="00FD5A30" w:rsidRPr="00FD5A30" w14:paraId="04ABE806" w14:textId="77777777">
        <w:trPr>
          <w:tblCellSpacing w:w="15" w:type="dxa"/>
        </w:trPr>
        <w:tc>
          <w:tcPr>
            <w:tcW w:w="0" w:type="auto"/>
            <w:vAlign w:val="center"/>
            <w:hideMark/>
          </w:tcPr>
          <w:p w14:paraId="55BCA220" w14:textId="77777777" w:rsidR="00FD5A30" w:rsidRPr="00FD5A30" w:rsidRDefault="00FD5A30" w:rsidP="00FD5A30">
            <w:pPr>
              <w:spacing w:before="0" w:after="0" w:line="240" w:lineRule="auto"/>
              <w:rPr>
                <w:rFonts w:eastAsia="Times New Roman" w:cs="Times New Roman"/>
                <w:kern w:val="0"/>
                <w:szCs w:val="24"/>
                <w14:ligatures w14:val="none"/>
              </w:rPr>
            </w:pPr>
            <w:r w:rsidRPr="00FD5A30">
              <w:rPr>
                <w:rFonts w:eastAsia="Times New Roman" w:cs="Times New Roman"/>
                <w:kern w:val="0"/>
                <w:szCs w:val="24"/>
                <w14:ligatures w14:val="none"/>
              </w:rPr>
              <w:t>Trader Desk</w:t>
            </w:r>
          </w:p>
        </w:tc>
        <w:tc>
          <w:tcPr>
            <w:tcW w:w="0" w:type="auto"/>
            <w:vAlign w:val="center"/>
            <w:hideMark/>
          </w:tcPr>
          <w:p w14:paraId="40A49318" w14:textId="77777777" w:rsidR="00FD5A30" w:rsidRPr="00FD5A30" w:rsidRDefault="00FD5A30" w:rsidP="00FD5A30">
            <w:pPr>
              <w:spacing w:before="0" w:after="0" w:line="240" w:lineRule="auto"/>
              <w:rPr>
                <w:rFonts w:eastAsia="Times New Roman" w:cs="Times New Roman"/>
                <w:kern w:val="0"/>
                <w:szCs w:val="24"/>
                <w14:ligatures w14:val="none"/>
              </w:rPr>
            </w:pPr>
            <w:r w:rsidRPr="00FD5A30">
              <w:rPr>
                <w:rFonts w:eastAsia="Times New Roman" w:cs="Times New Roman"/>
                <w:kern w:val="0"/>
                <w:szCs w:val="24"/>
                <w14:ligatures w14:val="none"/>
              </w:rPr>
              <w:t>Represents the business unit, desk, or trading group responsible for one or more trading strategies.</w:t>
            </w:r>
          </w:p>
        </w:tc>
      </w:tr>
      <w:tr w:rsidR="00FD5A30" w:rsidRPr="00FD5A30" w14:paraId="30E5AA87" w14:textId="77777777">
        <w:trPr>
          <w:tblCellSpacing w:w="15" w:type="dxa"/>
        </w:trPr>
        <w:tc>
          <w:tcPr>
            <w:tcW w:w="0" w:type="auto"/>
            <w:vAlign w:val="center"/>
            <w:hideMark/>
          </w:tcPr>
          <w:p w14:paraId="51F0DBA9" w14:textId="77777777" w:rsidR="00FD5A30" w:rsidRPr="00FD5A30" w:rsidRDefault="00FD5A30" w:rsidP="00FD5A30">
            <w:pPr>
              <w:spacing w:before="0" w:after="0" w:line="240" w:lineRule="auto"/>
              <w:rPr>
                <w:rFonts w:eastAsia="Times New Roman" w:cs="Times New Roman"/>
                <w:kern w:val="0"/>
                <w:szCs w:val="24"/>
                <w14:ligatures w14:val="none"/>
              </w:rPr>
            </w:pPr>
            <w:r w:rsidRPr="00FD5A30">
              <w:rPr>
                <w:rFonts w:eastAsia="Times New Roman" w:cs="Times New Roman"/>
                <w:kern w:val="0"/>
                <w:szCs w:val="24"/>
                <w14:ligatures w14:val="none"/>
              </w:rPr>
              <w:t>Trading Strategy</w:t>
            </w:r>
          </w:p>
        </w:tc>
        <w:tc>
          <w:tcPr>
            <w:tcW w:w="0" w:type="auto"/>
            <w:vAlign w:val="center"/>
            <w:hideMark/>
          </w:tcPr>
          <w:p w14:paraId="2027C60D" w14:textId="77777777" w:rsidR="00FD5A30" w:rsidRPr="00FD5A30" w:rsidRDefault="00FD5A30" w:rsidP="00FD5A30">
            <w:pPr>
              <w:spacing w:before="0" w:after="0" w:line="240" w:lineRule="auto"/>
              <w:rPr>
                <w:rFonts w:eastAsia="Times New Roman" w:cs="Times New Roman"/>
                <w:kern w:val="0"/>
                <w:szCs w:val="24"/>
                <w14:ligatures w14:val="none"/>
              </w:rPr>
            </w:pPr>
            <w:r w:rsidRPr="00FD5A30">
              <w:rPr>
                <w:rFonts w:eastAsia="Times New Roman" w:cs="Times New Roman"/>
                <w:kern w:val="0"/>
                <w:szCs w:val="24"/>
                <w14:ligatures w14:val="none"/>
              </w:rPr>
              <w:t>Represents an automated or semi-automated trading approach that generates orders based on market data, pricing signals, statistical rules, or risk controls.</w:t>
            </w:r>
          </w:p>
        </w:tc>
      </w:tr>
      <w:tr w:rsidR="00FD5A30" w:rsidRPr="00FD5A30" w14:paraId="074F5519" w14:textId="77777777">
        <w:trPr>
          <w:tblCellSpacing w:w="15" w:type="dxa"/>
        </w:trPr>
        <w:tc>
          <w:tcPr>
            <w:tcW w:w="0" w:type="auto"/>
            <w:vAlign w:val="center"/>
            <w:hideMark/>
          </w:tcPr>
          <w:p w14:paraId="75CBD3A8" w14:textId="77777777" w:rsidR="00FD5A30" w:rsidRPr="00FD5A30" w:rsidRDefault="00FD5A30" w:rsidP="00FD5A30">
            <w:pPr>
              <w:spacing w:before="0" w:after="0" w:line="240" w:lineRule="auto"/>
              <w:rPr>
                <w:rFonts w:eastAsia="Times New Roman" w:cs="Times New Roman"/>
                <w:kern w:val="0"/>
                <w:szCs w:val="24"/>
                <w14:ligatures w14:val="none"/>
              </w:rPr>
            </w:pPr>
            <w:r w:rsidRPr="00FD5A30">
              <w:rPr>
                <w:rFonts w:eastAsia="Times New Roman" w:cs="Times New Roman"/>
                <w:kern w:val="0"/>
                <w:szCs w:val="24"/>
                <w14:ligatures w14:val="none"/>
              </w:rPr>
              <w:lastRenderedPageBreak/>
              <w:t>Market Data Tick</w:t>
            </w:r>
          </w:p>
        </w:tc>
        <w:tc>
          <w:tcPr>
            <w:tcW w:w="0" w:type="auto"/>
            <w:vAlign w:val="center"/>
            <w:hideMark/>
          </w:tcPr>
          <w:p w14:paraId="2783D356" w14:textId="77777777" w:rsidR="00FD5A30" w:rsidRPr="00FD5A30" w:rsidRDefault="00FD5A30" w:rsidP="00FD5A30">
            <w:pPr>
              <w:spacing w:before="0" w:after="0" w:line="240" w:lineRule="auto"/>
              <w:rPr>
                <w:rFonts w:eastAsia="Times New Roman" w:cs="Times New Roman"/>
                <w:kern w:val="0"/>
                <w:szCs w:val="24"/>
                <w14:ligatures w14:val="none"/>
              </w:rPr>
            </w:pPr>
            <w:r w:rsidRPr="00FD5A30">
              <w:rPr>
                <w:rFonts w:eastAsia="Times New Roman" w:cs="Times New Roman"/>
                <w:kern w:val="0"/>
                <w:szCs w:val="24"/>
                <w14:ligatures w14:val="none"/>
              </w:rPr>
              <w:t>Represents a single market data event, such as a bid update, ask update, trade print, quote change, or price/size change received from a market data feed.</w:t>
            </w:r>
          </w:p>
        </w:tc>
      </w:tr>
      <w:tr w:rsidR="00FD5A30" w:rsidRPr="00FD5A30" w14:paraId="669AEF74" w14:textId="77777777">
        <w:trPr>
          <w:tblCellSpacing w:w="15" w:type="dxa"/>
        </w:trPr>
        <w:tc>
          <w:tcPr>
            <w:tcW w:w="0" w:type="auto"/>
            <w:vAlign w:val="center"/>
            <w:hideMark/>
          </w:tcPr>
          <w:p w14:paraId="0980652B" w14:textId="77777777" w:rsidR="00FD5A30" w:rsidRPr="00FD5A30" w:rsidRDefault="00FD5A30" w:rsidP="00FD5A30">
            <w:pPr>
              <w:spacing w:before="0" w:after="0" w:line="240" w:lineRule="auto"/>
              <w:rPr>
                <w:rFonts w:eastAsia="Times New Roman" w:cs="Times New Roman"/>
                <w:kern w:val="0"/>
                <w:szCs w:val="24"/>
                <w14:ligatures w14:val="none"/>
              </w:rPr>
            </w:pPr>
            <w:r w:rsidRPr="00FD5A30">
              <w:rPr>
                <w:rFonts w:eastAsia="Times New Roman" w:cs="Times New Roman"/>
                <w:kern w:val="0"/>
                <w:szCs w:val="24"/>
                <w14:ligatures w14:val="none"/>
              </w:rPr>
              <w:t>Order Request</w:t>
            </w:r>
          </w:p>
        </w:tc>
        <w:tc>
          <w:tcPr>
            <w:tcW w:w="0" w:type="auto"/>
            <w:vAlign w:val="center"/>
            <w:hideMark/>
          </w:tcPr>
          <w:p w14:paraId="1DB5E83B" w14:textId="77777777" w:rsidR="00FD5A30" w:rsidRPr="00FD5A30" w:rsidRDefault="00FD5A30" w:rsidP="00FD5A30">
            <w:pPr>
              <w:spacing w:before="0" w:after="0" w:line="240" w:lineRule="auto"/>
              <w:rPr>
                <w:rFonts w:eastAsia="Times New Roman" w:cs="Times New Roman"/>
                <w:kern w:val="0"/>
                <w:szCs w:val="24"/>
                <w14:ligatures w14:val="none"/>
              </w:rPr>
            </w:pPr>
            <w:r w:rsidRPr="00FD5A30">
              <w:rPr>
                <w:rFonts w:eastAsia="Times New Roman" w:cs="Times New Roman"/>
                <w:kern w:val="0"/>
                <w:szCs w:val="24"/>
                <w14:ligatures w14:val="none"/>
              </w:rPr>
              <w:t>Represents an order instruction generated by a trading strategy and submitted to a trading venue or order gateway.</w:t>
            </w:r>
          </w:p>
        </w:tc>
      </w:tr>
      <w:tr w:rsidR="00FD5A30" w:rsidRPr="00FD5A30" w14:paraId="7697BF67" w14:textId="77777777">
        <w:trPr>
          <w:tblCellSpacing w:w="15" w:type="dxa"/>
        </w:trPr>
        <w:tc>
          <w:tcPr>
            <w:tcW w:w="0" w:type="auto"/>
            <w:vAlign w:val="center"/>
            <w:hideMark/>
          </w:tcPr>
          <w:p w14:paraId="60E1350B" w14:textId="77777777" w:rsidR="00FD5A30" w:rsidRPr="00FD5A30" w:rsidRDefault="00FD5A30" w:rsidP="00FD5A30">
            <w:pPr>
              <w:spacing w:before="0" w:after="0" w:line="240" w:lineRule="auto"/>
              <w:rPr>
                <w:rFonts w:eastAsia="Times New Roman" w:cs="Times New Roman"/>
                <w:kern w:val="0"/>
                <w:szCs w:val="24"/>
                <w14:ligatures w14:val="none"/>
              </w:rPr>
            </w:pPr>
            <w:r w:rsidRPr="00FD5A30">
              <w:rPr>
                <w:rFonts w:eastAsia="Times New Roman" w:cs="Times New Roman"/>
                <w:kern w:val="0"/>
                <w:szCs w:val="24"/>
                <w14:ligatures w14:val="none"/>
              </w:rPr>
              <w:t>Execution Report</w:t>
            </w:r>
          </w:p>
        </w:tc>
        <w:tc>
          <w:tcPr>
            <w:tcW w:w="0" w:type="auto"/>
            <w:vAlign w:val="center"/>
            <w:hideMark/>
          </w:tcPr>
          <w:p w14:paraId="3ABCC329" w14:textId="77777777" w:rsidR="00FD5A30" w:rsidRPr="00FD5A30" w:rsidRDefault="00FD5A30" w:rsidP="00FD5A30">
            <w:pPr>
              <w:spacing w:before="0" w:after="0" w:line="240" w:lineRule="auto"/>
              <w:rPr>
                <w:rFonts w:eastAsia="Times New Roman" w:cs="Times New Roman"/>
                <w:kern w:val="0"/>
                <w:szCs w:val="24"/>
                <w14:ligatures w14:val="none"/>
              </w:rPr>
            </w:pPr>
            <w:r w:rsidRPr="00FD5A30">
              <w:rPr>
                <w:rFonts w:eastAsia="Times New Roman" w:cs="Times New Roman"/>
                <w:kern w:val="0"/>
                <w:szCs w:val="24"/>
                <w14:ligatures w14:val="none"/>
              </w:rPr>
              <w:t>Represents the outcome or status update of an order, including fills, partial fills, cancellations, rejections, or acknowledgments.</w:t>
            </w:r>
          </w:p>
        </w:tc>
      </w:tr>
      <w:tr w:rsidR="00FD5A30" w:rsidRPr="00FD5A30" w14:paraId="693DEBD8" w14:textId="77777777">
        <w:trPr>
          <w:tblCellSpacing w:w="15" w:type="dxa"/>
        </w:trPr>
        <w:tc>
          <w:tcPr>
            <w:tcW w:w="0" w:type="auto"/>
            <w:vAlign w:val="center"/>
            <w:hideMark/>
          </w:tcPr>
          <w:p w14:paraId="3696C582" w14:textId="77777777" w:rsidR="00FD5A30" w:rsidRPr="00FD5A30" w:rsidRDefault="00FD5A30" w:rsidP="00FD5A30">
            <w:pPr>
              <w:spacing w:before="0" w:after="0" w:line="240" w:lineRule="auto"/>
              <w:rPr>
                <w:rFonts w:eastAsia="Times New Roman" w:cs="Times New Roman"/>
                <w:kern w:val="0"/>
                <w:szCs w:val="24"/>
                <w14:ligatures w14:val="none"/>
              </w:rPr>
            </w:pPr>
            <w:r w:rsidRPr="00FD5A30">
              <w:rPr>
                <w:rFonts w:eastAsia="Times New Roman" w:cs="Times New Roman"/>
                <w:kern w:val="0"/>
                <w:szCs w:val="24"/>
                <w14:ligatures w14:val="none"/>
              </w:rPr>
              <w:t>Latency Measurement</w:t>
            </w:r>
          </w:p>
        </w:tc>
        <w:tc>
          <w:tcPr>
            <w:tcW w:w="0" w:type="auto"/>
            <w:vAlign w:val="center"/>
            <w:hideMark/>
          </w:tcPr>
          <w:p w14:paraId="5123E611" w14:textId="77777777" w:rsidR="00FD5A30" w:rsidRPr="00FD5A30" w:rsidRDefault="00FD5A30" w:rsidP="00FD5A30">
            <w:pPr>
              <w:spacing w:before="0" w:after="0" w:line="240" w:lineRule="auto"/>
              <w:rPr>
                <w:rFonts w:eastAsia="Times New Roman" w:cs="Times New Roman"/>
                <w:kern w:val="0"/>
                <w:szCs w:val="24"/>
                <w14:ligatures w14:val="none"/>
              </w:rPr>
            </w:pPr>
            <w:r w:rsidRPr="00FD5A30">
              <w:rPr>
                <w:rFonts w:eastAsia="Times New Roman" w:cs="Times New Roman"/>
                <w:kern w:val="0"/>
                <w:szCs w:val="24"/>
                <w14:ligatures w14:val="none"/>
              </w:rPr>
              <w:t>Represents timing measurements used to monitor system performance, including market data latency, order routing latency, and order-to-execution latency.</w:t>
            </w:r>
          </w:p>
        </w:tc>
      </w:tr>
      <w:tr w:rsidR="00FD5A30" w:rsidRPr="00FD5A30" w14:paraId="32D3F994" w14:textId="77777777">
        <w:trPr>
          <w:tblCellSpacing w:w="15" w:type="dxa"/>
        </w:trPr>
        <w:tc>
          <w:tcPr>
            <w:tcW w:w="0" w:type="auto"/>
            <w:vAlign w:val="center"/>
            <w:hideMark/>
          </w:tcPr>
          <w:p w14:paraId="078DBD3A" w14:textId="77777777" w:rsidR="00FD5A30" w:rsidRPr="00FD5A30" w:rsidRDefault="00FD5A30" w:rsidP="00FD5A30">
            <w:pPr>
              <w:spacing w:before="0" w:after="0" w:line="240" w:lineRule="auto"/>
              <w:rPr>
                <w:rFonts w:eastAsia="Times New Roman" w:cs="Times New Roman"/>
                <w:kern w:val="0"/>
                <w:szCs w:val="24"/>
                <w14:ligatures w14:val="none"/>
              </w:rPr>
            </w:pPr>
            <w:r w:rsidRPr="00FD5A30">
              <w:rPr>
                <w:rFonts w:eastAsia="Times New Roman" w:cs="Times New Roman"/>
                <w:kern w:val="0"/>
                <w:szCs w:val="24"/>
                <w14:ligatures w14:val="none"/>
              </w:rPr>
              <w:t>Position Snapshot</w:t>
            </w:r>
          </w:p>
        </w:tc>
        <w:tc>
          <w:tcPr>
            <w:tcW w:w="0" w:type="auto"/>
            <w:vAlign w:val="center"/>
            <w:hideMark/>
          </w:tcPr>
          <w:p w14:paraId="63A101EE" w14:textId="77777777" w:rsidR="00FD5A30" w:rsidRPr="00FD5A30" w:rsidRDefault="00FD5A30" w:rsidP="00FD5A30">
            <w:pPr>
              <w:spacing w:before="0" w:after="0" w:line="240" w:lineRule="auto"/>
              <w:rPr>
                <w:rFonts w:eastAsia="Times New Roman" w:cs="Times New Roman"/>
                <w:kern w:val="0"/>
                <w:szCs w:val="24"/>
                <w14:ligatures w14:val="none"/>
              </w:rPr>
            </w:pPr>
            <w:r w:rsidRPr="00FD5A30">
              <w:rPr>
                <w:rFonts w:eastAsia="Times New Roman" w:cs="Times New Roman"/>
                <w:kern w:val="0"/>
                <w:szCs w:val="24"/>
                <w14:ligatures w14:val="none"/>
              </w:rPr>
              <w:t>Represents the quantity and market value of holdings for a trading strategy and financial instrument at a specific point in time.</w:t>
            </w:r>
          </w:p>
        </w:tc>
      </w:tr>
      <w:tr w:rsidR="00FD5A30" w:rsidRPr="00FD5A30" w14:paraId="57614BCD" w14:textId="77777777">
        <w:trPr>
          <w:tblCellSpacing w:w="15" w:type="dxa"/>
        </w:trPr>
        <w:tc>
          <w:tcPr>
            <w:tcW w:w="0" w:type="auto"/>
            <w:vAlign w:val="center"/>
            <w:hideMark/>
          </w:tcPr>
          <w:p w14:paraId="091A6EBF" w14:textId="77777777" w:rsidR="00FD5A30" w:rsidRPr="00FD5A30" w:rsidRDefault="00FD5A30" w:rsidP="00FD5A30">
            <w:pPr>
              <w:spacing w:before="0" w:after="0" w:line="240" w:lineRule="auto"/>
              <w:rPr>
                <w:rFonts w:eastAsia="Times New Roman" w:cs="Times New Roman"/>
                <w:kern w:val="0"/>
                <w:szCs w:val="24"/>
                <w14:ligatures w14:val="none"/>
              </w:rPr>
            </w:pPr>
            <w:r w:rsidRPr="00FD5A30">
              <w:rPr>
                <w:rFonts w:eastAsia="Times New Roman" w:cs="Times New Roman"/>
                <w:kern w:val="0"/>
                <w:szCs w:val="24"/>
                <w14:ligatures w14:val="none"/>
              </w:rPr>
              <w:t>Risk Limit</w:t>
            </w:r>
          </w:p>
        </w:tc>
        <w:tc>
          <w:tcPr>
            <w:tcW w:w="0" w:type="auto"/>
            <w:vAlign w:val="center"/>
            <w:hideMark/>
          </w:tcPr>
          <w:p w14:paraId="56174FE8" w14:textId="77777777" w:rsidR="00FD5A30" w:rsidRPr="00FD5A30" w:rsidRDefault="00FD5A30" w:rsidP="00FD5A30">
            <w:pPr>
              <w:spacing w:before="0" w:after="0" w:line="240" w:lineRule="auto"/>
              <w:rPr>
                <w:rFonts w:eastAsia="Times New Roman" w:cs="Times New Roman"/>
                <w:kern w:val="0"/>
                <w:szCs w:val="24"/>
                <w14:ligatures w14:val="none"/>
              </w:rPr>
            </w:pPr>
            <w:r w:rsidRPr="00FD5A30">
              <w:rPr>
                <w:rFonts w:eastAsia="Times New Roman" w:cs="Times New Roman"/>
                <w:kern w:val="0"/>
                <w:szCs w:val="24"/>
                <w14:ligatures w14:val="none"/>
              </w:rPr>
              <w:t>Represents predefined trading controls used to restrict order size, net position, daily loss, latency tolerance, or other operational limits.</w:t>
            </w:r>
          </w:p>
        </w:tc>
      </w:tr>
      <w:tr w:rsidR="00FD5A30" w:rsidRPr="00FD5A30" w14:paraId="78D6CACE" w14:textId="77777777">
        <w:trPr>
          <w:tblCellSpacing w:w="15" w:type="dxa"/>
        </w:trPr>
        <w:tc>
          <w:tcPr>
            <w:tcW w:w="0" w:type="auto"/>
            <w:vAlign w:val="center"/>
            <w:hideMark/>
          </w:tcPr>
          <w:p w14:paraId="4AA5CD1E" w14:textId="77777777" w:rsidR="00FD5A30" w:rsidRPr="00FD5A30" w:rsidRDefault="00FD5A30" w:rsidP="00FD5A30">
            <w:pPr>
              <w:spacing w:before="0" w:after="0" w:line="240" w:lineRule="auto"/>
              <w:rPr>
                <w:rFonts w:eastAsia="Times New Roman" w:cs="Times New Roman"/>
                <w:kern w:val="0"/>
                <w:szCs w:val="24"/>
                <w14:ligatures w14:val="none"/>
              </w:rPr>
            </w:pPr>
            <w:r w:rsidRPr="00FD5A30">
              <w:rPr>
                <w:rFonts w:eastAsia="Times New Roman" w:cs="Times New Roman"/>
                <w:kern w:val="0"/>
                <w:szCs w:val="24"/>
                <w14:ligatures w14:val="none"/>
              </w:rPr>
              <w:t>Daily Profit and Loss</w:t>
            </w:r>
          </w:p>
        </w:tc>
        <w:tc>
          <w:tcPr>
            <w:tcW w:w="0" w:type="auto"/>
            <w:vAlign w:val="center"/>
            <w:hideMark/>
          </w:tcPr>
          <w:p w14:paraId="55BAC2FA" w14:textId="77777777" w:rsidR="00FD5A30" w:rsidRPr="00FD5A30" w:rsidRDefault="00FD5A30" w:rsidP="00FD5A30">
            <w:pPr>
              <w:spacing w:before="0" w:after="0" w:line="240" w:lineRule="auto"/>
              <w:rPr>
                <w:rFonts w:eastAsia="Times New Roman" w:cs="Times New Roman"/>
                <w:kern w:val="0"/>
                <w:szCs w:val="24"/>
                <w14:ligatures w14:val="none"/>
              </w:rPr>
            </w:pPr>
            <w:r w:rsidRPr="00FD5A30">
              <w:rPr>
                <w:rFonts w:eastAsia="Times New Roman" w:cs="Times New Roman"/>
                <w:kern w:val="0"/>
                <w:szCs w:val="24"/>
                <w14:ligatures w14:val="none"/>
              </w:rPr>
              <w:t>Represents daily financial performance for a strategy and instrument, including realized profit/loss, unrealized profit/loss, commissions, and net profit/loss.</w:t>
            </w:r>
          </w:p>
        </w:tc>
      </w:tr>
      <w:tr w:rsidR="00FD5A30" w:rsidRPr="00FD5A30" w14:paraId="7C96D94E" w14:textId="77777777">
        <w:trPr>
          <w:tblCellSpacing w:w="15" w:type="dxa"/>
        </w:trPr>
        <w:tc>
          <w:tcPr>
            <w:tcW w:w="0" w:type="auto"/>
            <w:vAlign w:val="center"/>
            <w:hideMark/>
          </w:tcPr>
          <w:p w14:paraId="632F46CE" w14:textId="77777777" w:rsidR="00FD5A30" w:rsidRPr="00FD5A30" w:rsidRDefault="00FD5A30" w:rsidP="00FD5A30">
            <w:pPr>
              <w:spacing w:before="0" w:after="0" w:line="240" w:lineRule="auto"/>
              <w:rPr>
                <w:rFonts w:eastAsia="Times New Roman" w:cs="Times New Roman"/>
                <w:kern w:val="0"/>
                <w:szCs w:val="24"/>
                <w14:ligatures w14:val="none"/>
              </w:rPr>
            </w:pPr>
            <w:r w:rsidRPr="00FD5A30">
              <w:rPr>
                <w:rFonts w:eastAsia="Times New Roman" w:cs="Times New Roman"/>
                <w:kern w:val="0"/>
                <w:szCs w:val="24"/>
                <w14:ligatures w14:val="none"/>
              </w:rPr>
              <w:t>Market Data Feed</w:t>
            </w:r>
          </w:p>
        </w:tc>
        <w:tc>
          <w:tcPr>
            <w:tcW w:w="0" w:type="auto"/>
            <w:vAlign w:val="center"/>
            <w:hideMark/>
          </w:tcPr>
          <w:p w14:paraId="27BC4459" w14:textId="77777777" w:rsidR="00FD5A30" w:rsidRPr="00FD5A30" w:rsidRDefault="00FD5A30" w:rsidP="00FD5A30">
            <w:pPr>
              <w:spacing w:before="0" w:after="0" w:line="240" w:lineRule="auto"/>
              <w:rPr>
                <w:rFonts w:eastAsia="Times New Roman" w:cs="Times New Roman"/>
                <w:kern w:val="0"/>
                <w:szCs w:val="24"/>
                <w14:ligatures w14:val="none"/>
              </w:rPr>
            </w:pPr>
            <w:r w:rsidRPr="00FD5A30">
              <w:rPr>
                <w:rFonts w:eastAsia="Times New Roman" w:cs="Times New Roman"/>
                <w:kern w:val="0"/>
                <w:szCs w:val="24"/>
                <w14:ligatures w14:val="none"/>
              </w:rPr>
              <w:t>Represents the source or channel through which real-time or delayed pricing, quote, and trade information is received.</w:t>
            </w:r>
          </w:p>
        </w:tc>
      </w:tr>
      <w:tr w:rsidR="00FD5A30" w:rsidRPr="00FD5A30" w14:paraId="696F82ED" w14:textId="77777777">
        <w:trPr>
          <w:tblCellSpacing w:w="15" w:type="dxa"/>
        </w:trPr>
        <w:tc>
          <w:tcPr>
            <w:tcW w:w="0" w:type="auto"/>
            <w:vAlign w:val="center"/>
            <w:hideMark/>
          </w:tcPr>
          <w:p w14:paraId="421B7069" w14:textId="77777777" w:rsidR="00FD5A30" w:rsidRPr="00FD5A30" w:rsidRDefault="00FD5A30" w:rsidP="00FD5A30">
            <w:pPr>
              <w:spacing w:before="0" w:after="0" w:line="240" w:lineRule="auto"/>
              <w:rPr>
                <w:rFonts w:eastAsia="Times New Roman" w:cs="Times New Roman"/>
                <w:kern w:val="0"/>
                <w:szCs w:val="24"/>
                <w14:ligatures w14:val="none"/>
              </w:rPr>
            </w:pPr>
            <w:r w:rsidRPr="00FD5A30">
              <w:rPr>
                <w:rFonts w:eastAsia="Times New Roman" w:cs="Times New Roman"/>
                <w:kern w:val="0"/>
                <w:szCs w:val="24"/>
                <w14:ligatures w14:val="none"/>
              </w:rPr>
              <w:t>Order Gateway</w:t>
            </w:r>
          </w:p>
        </w:tc>
        <w:tc>
          <w:tcPr>
            <w:tcW w:w="0" w:type="auto"/>
            <w:vAlign w:val="center"/>
            <w:hideMark/>
          </w:tcPr>
          <w:p w14:paraId="31B4355A" w14:textId="77777777" w:rsidR="00FD5A30" w:rsidRPr="00FD5A30" w:rsidRDefault="00FD5A30" w:rsidP="00FD5A30">
            <w:pPr>
              <w:spacing w:before="0" w:after="0" w:line="240" w:lineRule="auto"/>
              <w:rPr>
                <w:rFonts w:eastAsia="Times New Roman" w:cs="Times New Roman"/>
                <w:kern w:val="0"/>
                <w:szCs w:val="24"/>
                <w14:ligatures w14:val="none"/>
              </w:rPr>
            </w:pPr>
            <w:r w:rsidRPr="00FD5A30">
              <w:rPr>
                <w:rFonts w:eastAsia="Times New Roman" w:cs="Times New Roman"/>
                <w:kern w:val="0"/>
                <w:szCs w:val="24"/>
                <w14:ligatures w14:val="none"/>
              </w:rPr>
              <w:t>Represents the system component responsible for accepting orders from strategies and routing them to the appropriate trading venue.</w:t>
            </w:r>
          </w:p>
        </w:tc>
      </w:tr>
      <w:tr w:rsidR="00FD5A30" w:rsidRPr="00FD5A30" w14:paraId="5AAF11AA" w14:textId="77777777">
        <w:trPr>
          <w:tblCellSpacing w:w="15" w:type="dxa"/>
        </w:trPr>
        <w:tc>
          <w:tcPr>
            <w:tcW w:w="0" w:type="auto"/>
            <w:vAlign w:val="center"/>
            <w:hideMark/>
          </w:tcPr>
          <w:p w14:paraId="75FEB801" w14:textId="77777777" w:rsidR="00FD5A30" w:rsidRPr="00FD5A30" w:rsidRDefault="00FD5A30" w:rsidP="00FD5A30">
            <w:pPr>
              <w:spacing w:before="0" w:after="0" w:line="240" w:lineRule="auto"/>
              <w:rPr>
                <w:rFonts w:eastAsia="Times New Roman" w:cs="Times New Roman"/>
                <w:kern w:val="0"/>
                <w:szCs w:val="24"/>
                <w14:ligatures w14:val="none"/>
              </w:rPr>
            </w:pPr>
            <w:r w:rsidRPr="00FD5A30">
              <w:rPr>
                <w:rFonts w:eastAsia="Times New Roman" w:cs="Times New Roman"/>
                <w:kern w:val="0"/>
                <w:szCs w:val="24"/>
                <w14:ligatures w14:val="none"/>
              </w:rPr>
              <w:t>Reference Data</w:t>
            </w:r>
          </w:p>
        </w:tc>
        <w:tc>
          <w:tcPr>
            <w:tcW w:w="0" w:type="auto"/>
            <w:vAlign w:val="center"/>
            <w:hideMark/>
          </w:tcPr>
          <w:p w14:paraId="47E5EC82" w14:textId="77777777" w:rsidR="00FD5A30" w:rsidRPr="00FD5A30" w:rsidRDefault="00FD5A30" w:rsidP="00FD5A30">
            <w:pPr>
              <w:spacing w:before="0" w:after="0" w:line="240" w:lineRule="auto"/>
              <w:rPr>
                <w:rFonts w:eastAsia="Times New Roman" w:cs="Times New Roman"/>
                <w:kern w:val="0"/>
                <w:szCs w:val="24"/>
                <w14:ligatures w14:val="none"/>
              </w:rPr>
            </w:pPr>
            <w:r w:rsidRPr="00FD5A30">
              <w:rPr>
                <w:rFonts w:eastAsia="Times New Roman" w:cs="Times New Roman"/>
                <w:kern w:val="0"/>
                <w:szCs w:val="24"/>
                <w14:ligatures w14:val="none"/>
              </w:rPr>
              <w:t>Represents descriptive and classification information used to identify instruments, venues, currencies, calendars, and other supporting trading data.</w:t>
            </w:r>
          </w:p>
        </w:tc>
      </w:tr>
      <w:tr w:rsidR="00FD5A30" w:rsidRPr="00FD5A30" w14:paraId="58535A8E" w14:textId="77777777">
        <w:trPr>
          <w:tblCellSpacing w:w="15" w:type="dxa"/>
        </w:trPr>
        <w:tc>
          <w:tcPr>
            <w:tcW w:w="0" w:type="auto"/>
            <w:vAlign w:val="center"/>
            <w:hideMark/>
          </w:tcPr>
          <w:p w14:paraId="094589D1" w14:textId="77777777" w:rsidR="00FD5A30" w:rsidRPr="00FD5A30" w:rsidRDefault="00FD5A30" w:rsidP="00FD5A30">
            <w:pPr>
              <w:spacing w:before="0" w:after="0" w:line="240" w:lineRule="auto"/>
              <w:rPr>
                <w:rFonts w:eastAsia="Times New Roman" w:cs="Times New Roman"/>
                <w:kern w:val="0"/>
                <w:szCs w:val="24"/>
                <w14:ligatures w14:val="none"/>
              </w:rPr>
            </w:pPr>
            <w:r w:rsidRPr="00FD5A30">
              <w:rPr>
                <w:rFonts w:eastAsia="Times New Roman" w:cs="Times New Roman"/>
                <w:kern w:val="0"/>
                <w:szCs w:val="24"/>
                <w14:ligatures w14:val="none"/>
              </w:rPr>
              <w:t>Trading Session</w:t>
            </w:r>
          </w:p>
        </w:tc>
        <w:tc>
          <w:tcPr>
            <w:tcW w:w="0" w:type="auto"/>
            <w:vAlign w:val="center"/>
            <w:hideMark/>
          </w:tcPr>
          <w:p w14:paraId="4BC4CF59" w14:textId="77777777" w:rsidR="00FD5A30" w:rsidRPr="00FD5A30" w:rsidRDefault="00FD5A30" w:rsidP="00FD5A30">
            <w:pPr>
              <w:spacing w:before="0" w:after="0" w:line="240" w:lineRule="auto"/>
              <w:rPr>
                <w:rFonts w:eastAsia="Times New Roman" w:cs="Times New Roman"/>
                <w:kern w:val="0"/>
                <w:szCs w:val="24"/>
                <w14:ligatures w14:val="none"/>
              </w:rPr>
            </w:pPr>
            <w:r w:rsidRPr="00FD5A30">
              <w:rPr>
                <w:rFonts w:eastAsia="Times New Roman" w:cs="Times New Roman"/>
                <w:kern w:val="0"/>
                <w:szCs w:val="24"/>
                <w14:ligatures w14:val="none"/>
              </w:rPr>
              <w:t>Represents a defined market period during which trading activity occurs, such as pre-market, regular session, after-hours, or overnight trading.</w:t>
            </w:r>
          </w:p>
        </w:tc>
      </w:tr>
      <w:tr w:rsidR="00FD5A30" w:rsidRPr="00FD5A30" w14:paraId="07448425" w14:textId="77777777">
        <w:trPr>
          <w:tblCellSpacing w:w="15" w:type="dxa"/>
        </w:trPr>
        <w:tc>
          <w:tcPr>
            <w:tcW w:w="0" w:type="auto"/>
            <w:vAlign w:val="center"/>
            <w:hideMark/>
          </w:tcPr>
          <w:p w14:paraId="10C5CF88" w14:textId="77777777" w:rsidR="00FD5A30" w:rsidRPr="00FD5A30" w:rsidRDefault="00FD5A30" w:rsidP="00FD5A30">
            <w:pPr>
              <w:spacing w:before="0" w:after="0" w:line="240" w:lineRule="auto"/>
              <w:rPr>
                <w:rFonts w:eastAsia="Times New Roman" w:cs="Times New Roman"/>
                <w:kern w:val="0"/>
                <w:szCs w:val="24"/>
                <w14:ligatures w14:val="none"/>
              </w:rPr>
            </w:pPr>
            <w:r w:rsidRPr="00FD5A30">
              <w:rPr>
                <w:rFonts w:eastAsia="Times New Roman" w:cs="Times New Roman"/>
                <w:kern w:val="0"/>
                <w:szCs w:val="24"/>
                <w14:ligatures w14:val="none"/>
              </w:rPr>
              <w:t>Risk Event</w:t>
            </w:r>
          </w:p>
        </w:tc>
        <w:tc>
          <w:tcPr>
            <w:tcW w:w="0" w:type="auto"/>
            <w:vAlign w:val="center"/>
            <w:hideMark/>
          </w:tcPr>
          <w:p w14:paraId="0FB754FF" w14:textId="77777777" w:rsidR="00FD5A30" w:rsidRPr="00FD5A30" w:rsidRDefault="00FD5A30" w:rsidP="00FD5A30">
            <w:pPr>
              <w:spacing w:before="0" w:after="0" w:line="240" w:lineRule="auto"/>
              <w:rPr>
                <w:rFonts w:eastAsia="Times New Roman" w:cs="Times New Roman"/>
                <w:kern w:val="0"/>
                <w:szCs w:val="24"/>
                <w14:ligatures w14:val="none"/>
              </w:rPr>
            </w:pPr>
            <w:r w:rsidRPr="00FD5A30">
              <w:rPr>
                <w:rFonts w:eastAsia="Times New Roman" w:cs="Times New Roman"/>
                <w:kern w:val="0"/>
                <w:szCs w:val="24"/>
                <w14:ligatures w14:val="none"/>
              </w:rPr>
              <w:t>Represents an exception, breach, warning, or alert generated when trading activity approaches or violates a defined risk threshold.</w:t>
            </w:r>
          </w:p>
        </w:tc>
      </w:tr>
    </w:tbl>
    <w:p w14:paraId="7E17E562" w14:textId="77777777" w:rsidR="000E37DF" w:rsidRDefault="000E37DF" w:rsidP="000E37DF"/>
    <w:p w14:paraId="5D17AACE" w14:textId="724D3381" w:rsidR="00C3105B" w:rsidRPr="00C3105B" w:rsidRDefault="000E37DF" w:rsidP="000E37DF">
      <w:pPr>
        <w:pStyle w:val="BookHeading3"/>
      </w:pPr>
      <w:r>
        <w:t xml:space="preserve">Entity </w:t>
      </w:r>
      <w:r w:rsidR="00C3105B" w:rsidRPr="00C3105B">
        <w:t>Relationship Data Dictionary</w:t>
      </w:r>
    </w:p>
    <w:p w14:paraId="70008563" w14:textId="03D2F206" w:rsidR="00C3105B" w:rsidRPr="00C3105B" w:rsidRDefault="000E37DF" w:rsidP="00C3105B">
      <w:pPr>
        <w:spacing w:beforeAutospacing="1" w:after="100" w:afterAutospacing="1" w:line="240" w:lineRule="auto"/>
        <w:rPr>
          <w:rFonts w:eastAsia="Times New Roman" w:cs="Times New Roman"/>
          <w:b/>
          <w:bCs/>
          <w:kern w:val="0"/>
          <w:szCs w:val="24"/>
          <w14:ligatures w14:val="none"/>
        </w:rPr>
      </w:pPr>
      <w:r>
        <w:rPr>
          <w:rFonts w:eastAsia="Times New Roman" w:cs="Times New Roman"/>
          <w:b/>
          <w:bCs/>
          <w:kern w:val="0"/>
          <w:szCs w:val="24"/>
          <w14:ligatures w14:val="none"/>
        </w:rPr>
        <w:t>Below are the basic verb phrases that describe the business relationships between entities: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68"/>
        <w:gridCol w:w="2073"/>
        <w:gridCol w:w="2215"/>
      </w:tblGrid>
      <w:tr w:rsidR="00C3105B" w:rsidRPr="00C3105B" w14:paraId="4852C898" w14:textId="77777777" w:rsidTr="00C3105B">
        <w:trPr>
          <w:tblHeader/>
          <w:tblCellSpacing w:w="15" w:type="dxa"/>
        </w:trPr>
        <w:tc>
          <w:tcPr>
            <w:tcW w:w="0" w:type="auto"/>
            <w:shd w:val="clear" w:color="auto" w:fill="F2F2F2" w:themeFill="background1" w:themeFillShade="F2"/>
            <w:vAlign w:val="center"/>
            <w:hideMark/>
          </w:tcPr>
          <w:p w14:paraId="5F0A1E06" w14:textId="77777777" w:rsidR="00C3105B" w:rsidRPr="00C3105B" w:rsidRDefault="00C3105B" w:rsidP="00C3105B">
            <w:pPr>
              <w:spacing w:beforeAutospacing="1" w:after="100" w:afterAutospacing="1" w:line="240" w:lineRule="auto"/>
              <w:rPr>
                <w:rFonts w:eastAsia="Times New Roman" w:cs="Times New Roman"/>
                <w:b/>
                <w:bCs/>
                <w:kern w:val="0"/>
                <w:szCs w:val="24"/>
                <w14:ligatures w14:val="none"/>
              </w:rPr>
            </w:pPr>
            <w:r w:rsidRPr="00C3105B">
              <w:rPr>
                <w:rFonts w:eastAsia="Times New Roman" w:cs="Times New Roman"/>
                <w:b/>
                <w:bCs/>
                <w:kern w:val="0"/>
                <w:szCs w:val="24"/>
                <w14:ligatures w14:val="none"/>
              </w:rPr>
              <w:t>Parent Entity</w:t>
            </w:r>
          </w:p>
        </w:tc>
        <w:tc>
          <w:tcPr>
            <w:tcW w:w="0" w:type="auto"/>
            <w:shd w:val="clear" w:color="auto" w:fill="F2F2F2" w:themeFill="background1" w:themeFillShade="F2"/>
            <w:vAlign w:val="center"/>
            <w:hideMark/>
          </w:tcPr>
          <w:p w14:paraId="222EBE26" w14:textId="77777777" w:rsidR="00C3105B" w:rsidRPr="00C3105B" w:rsidRDefault="00C3105B" w:rsidP="00C3105B">
            <w:pPr>
              <w:spacing w:beforeAutospacing="1" w:after="100" w:afterAutospacing="1" w:line="240" w:lineRule="auto"/>
              <w:rPr>
                <w:rFonts w:eastAsia="Times New Roman" w:cs="Times New Roman"/>
                <w:b/>
                <w:bCs/>
                <w:kern w:val="0"/>
                <w:szCs w:val="24"/>
                <w14:ligatures w14:val="none"/>
              </w:rPr>
            </w:pPr>
            <w:r w:rsidRPr="00C3105B">
              <w:rPr>
                <w:rFonts w:eastAsia="Times New Roman" w:cs="Times New Roman"/>
                <w:b/>
                <w:bCs/>
                <w:kern w:val="0"/>
                <w:szCs w:val="24"/>
                <w14:ligatures w14:val="none"/>
              </w:rPr>
              <w:t>Association Rule</w:t>
            </w:r>
          </w:p>
        </w:tc>
        <w:tc>
          <w:tcPr>
            <w:tcW w:w="0" w:type="auto"/>
            <w:shd w:val="clear" w:color="auto" w:fill="F2F2F2" w:themeFill="background1" w:themeFillShade="F2"/>
            <w:vAlign w:val="center"/>
            <w:hideMark/>
          </w:tcPr>
          <w:p w14:paraId="764175D8" w14:textId="77777777" w:rsidR="00C3105B" w:rsidRPr="00C3105B" w:rsidRDefault="00C3105B" w:rsidP="00C3105B">
            <w:pPr>
              <w:spacing w:beforeAutospacing="1" w:after="100" w:afterAutospacing="1" w:line="240" w:lineRule="auto"/>
              <w:rPr>
                <w:rFonts w:eastAsia="Times New Roman" w:cs="Times New Roman"/>
                <w:b/>
                <w:bCs/>
                <w:kern w:val="0"/>
                <w:szCs w:val="24"/>
                <w14:ligatures w14:val="none"/>
              </w:rPr>
            </w:pPr>
            <w:r w:rsidRPr="00C3105B">
              <w:rPr>
                <w:rFonts w:eastAsia="Times New Roman" w:cs="Times New Roman"/>
                <w:b/>
                <w:bCs/>
                <w:kern w:val="0"/>
                <w:szCs w:val="24"/>
                <w14:ligatures w14:val="none"/>
              </w:rPr>
              <w:t>Child Entity</w:t>
            </w:r>
          </w:p>
        </w:tc>
      </w:tr>
      <w:tr w:rsidR="00C3105B" w:rsidRPr="00C3105B" w14:paraId="794450AB" w14:textId="77777777">
        <w:trPr>
          <w:tblCellSpacing w:w="15" w:type="dxa"/>
        </w:trPr>
        <w:tc>
          <w:tcPr>
            <w:tcW w:w="0" w:type="auto"/>
            <w:vAlign w:val="center"/>
            <w:hideMark/>
          </w:tcPr>
          <w:p w14:paraId="2AE64311"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Market Data Feed</w:t>
            </w:r>
          </w:p>
        </w:tc>
        <w:tc>
          <w:tcPr>
            <w:tcW w:w="0" w:type="auto"/>
            <w:vAlign w:val="center"/>
            <w:hideMark/>
          </w:tcPr>
          <w:p w14:paraId="5EA7A077"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delivers</w:t>
            </w:r>
          </w:p>
        </w:tc>
        <w:tc>
          <w:tcPr>
            <w:tcW w:w="0" w:type="auto"/>
            <w:vAlign w:val="center"/>
            <w:hideMark/>
          </w:tcPr>
          <w:p w14:paraId="5FC3E566"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Market Data Tick</w:t>
            </w:r>
          </w:p>
        </w:tc>
      </w:tr>
      <w:tr w:rsidR="00C3105B" w:rsidRPr="00C3105B" w14:paraId="57402CAD" w14:textId="77777777">
        <w:trPr>
          <w:tblCellSpacing w:w="15" w:type="dxa"/>
        </w:trPr>
        <w:tc>
          <w:tcPr>
            <w:tcW w:w="0" w:type="auto"/>
            <w:vAlign w:val="center"/>
            <w:hideMark/>
          </w:tcPr>
          <w:p w14:paraId="4CD7AF6C"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Trading Venue</w:t>
            </w:r>
          </w:p>
        </w:tc>
        <w:tc>
          <w:tcPr>
            <w:tcW w:w="0" w:type="auto"/>
            <w:vAlign w:val="center"/>
            <w:hideMark/>
          </w:tcPr>
          <w:p w14:paraId="0971B374"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publishes or receives</w:t>
            </w:r>
          </w:p>
        </w:tc>
        <w:tc>
          <w:tcPr>
            <w:tcW w:w="0" w:type="auto"/>
            <w:vAlign w:val="center"/>
            <w:hideMark/>
          </w:tcPr>
          <w:p w14:paraId="69FE2E39"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Market Data Tick</w:t>
            </w:r>
          </w:p>
        </w:tc>
      </w:tr>
      <w:tr w:rsidR="00C3105B" w:rsidRPr="00C3105B" w14:paraId="21E3E672" w14:textId="77777777">
        <w:trPr>
          <w:tblCellSpacing w:w="15" w:type="dxa"/>
        </w:trPr>
        <w:tc>
          <w:tcPr>
            <w:tcW w:w="0" w:type="auto"/>
            <w:vAlign w:val="center"/>
            <w:hideMark/>
          </w:tcPr>
          <w:p w14:paraId="53FEDF3C"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Financial Instrument</w:t>
            </w:r>
          </w:p>
        </w:tc>
        <w:tc>
          <w:tcPr>
            <w:tcW w:w="0" w:type="auto"/>
            <w:vAlign w:val="center"/>
            <w:hideMark/>
          </w:tcPr>
          <w:p w14:paraId="73C6DA55"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is quoted by</w:t>
            </w:r>
          </w:p>
        </w:tc>
        <w:tc>
          <w:tcPr>
            <w:tcW w:w="0" w:type="auto"/>
            <w:vAlign w:val="center"/>
            <w:hideMark/>
          </w:tcPr>
          <w:p w14:paraId="2EB2F168"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Market Data Tick</w:t>
            </w:r>
          </w:p>
        </w:tc>
      </w:tr>
      <w:tr w:rsidR="00C3105B" w:rsidRPr="00C3105B" w14:paraId="27808049" w14:textId="77777777">
        <w:trPr>
          <w:tblCellSpacing w:w="15" w:type="dxa"/>
        </w:trPr>
        <w:tc>
          <w:tcPr>
            <w:tcW w:w="0" w:type="auto"/>
            <w:vAlign w:val="center"/>
            <w:hideMark/>
          </w:tcPr>
          <w:p w14:paraId="3F0C57B7"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Trading Venue</w:t>
            </w:r>
          </w:p>
        </w:tc>
        <w:tc>
          <w:tcPr>
            <w:tcW w:w="0" w:type="auto"/>
            <w:vAlign w:val="center"/>
            <w:hideMark/>
          </w:tcPr>
          <w:p w14:paraId="578DD914"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hosts</w:t>
            </w:r>
          </w:p>
        </w:tc>
        <w:tc>
          <w:tcPr>
            <w:tcW w:w="0" w:type="auto"/>
            <w:vAlign w:val="center"/>
            <w:hideMark/>
          </w:tcPr>
          <w:p w14:paraId="77CDA6AF"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Trading Session</w:t>
            </w:r>
          </w:p>
        </w:tc>
      </w:tr>
      <w:tr w:rsidR="00C3105B" w:rsidRPr="00C3105B" w14:paraId="07BC6878" w14:textId="77777777">
        <w:trPr>
          <w:tblCellSpacing w:w="15" w:type="dxa"/>
        </w:trPr>
        <w:tc>
          <w:tcPr>
            <w:tcW w:w="0" w:type="auto"/>
            <w:vAlign w:val="center"/>
            <w:hideMark/>
          </w:tcPr>
          <w:p w14:paraId="07C63BFA"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Trading Session</w:t>
            </w:r>
          </w:p>
        </w:tc>
        <w:tc>
          <w:tcPr>
            <w:tcW w:w="0" w:type="auto"/>
            <w:vAlign w:val="center"/>
            <w:hideMark/>
          </w:tcPr>
          <w:p w14:paraId="5AF795EC"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contains</w:t>
            </w:r>
          </w:p>
        </w:tc>
        <w:tc>
          <w:tcPr>
            <w:tcW w:w="0" w:type="auto"/>
            <w:vAlign w:val="center"/>
            <w:hideMark/>
          </w:tcPr>
          <w:p w14:paraId="673F7019"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Execution Report</w:t>
            </w:r>
          </w:p>
        </w:tc>
      </w:tr>
      <w:tr w:rsidR="00C3105B" w:rsidRPr="00C3105B" w14:paraId="4C64F9B7" w14:textId="77777777">
        <w:trPr>
          <w:tblCellSpacing w:w="15" w:type="dxa"/>
        </w:trPr>
        <w:tc>
          <w:tcPr>
            <w:tcW w:w="0" w:type="auto"/>
            <w:vAlign w:val="center"/>
            <w:hideMark/>
          </w:tcPr>
          <w:p w14:paraId="620080F5"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Trader Desk</w:t>
            </w:r>
          </w:p>
        </w:tc>
        <w:tc>
          <w:tcPr>
            <w:tcW w:w="0" w:type="auto"/>
            <w:vAlign w:val="center"/>
            <w:hideMark/>
          </w:tcPr>
          <w:p w14:paraId="48602E24"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manages</w:t>
            </w:r>
          </w:p>
        </w:tc>
        <w:tc>
          <w:tcPr>
            <w:tcW w:w="0" w:type="auto"/>
            <w:vAlign w:val="center"/>
            <w:hideMark/>
          </w:tcPr>
          <w:p w14:paraId="2CD6ED93"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Trading Strategy</w:t>
            </w:r>
          </w:p>
        </w:tc>
      </w:tr>
      <w:tr w:rsidR="00C3105B" w:rsidRPr="00C3105B" w14:paraId="27CDA9BC" w14:textId="77777777">
        <w:trPr>
          <w:tblCellSpacing w:w="15" w:type="dxa"/>
        </w:trPr>
        <w:tc>
          <w:tcPr>
            <w:tcW w:w="0" w:type="auto"/>
            <w:vAlign w:val="center"/>
            <w:hideMark/>
          </w:tcPr>
          <w:p w14:paraId="58CCCF19"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Trading Strategy</w:t>
            </w:r>
          </w:p>
        </w:tc>
        <w:tc>
          <w:tcPr>
            <w:tcW w:w="0" w:type="auto"/>
            <w:vAlign w:val="center"/>
            <w:hideMark/>
          </w:tcPr>
          <w:p w14:paraId="4431E852"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generates</w:t>
            </w:r>
          </w:p>
        </w:tc>
        <w:tc>
          <w:tcPr>
            <w:tcW w:w="0" w:type="auto"/>
            <w:vAlign w:val="center"/>
            <w:hideMark/>
          </w:tcPr>
          <w:p w14:paraId="49AA5D64"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Order Request</w:t>
            </w:r>
          </w:p>
        </w:tc>
      </w:tr>
      <w:tr w:rsidR="00C3105B" w:rsidRPr="00C3105B" w14:paraId="03B42CD6" w14:textId="77777777">
        <w:trPr>
          <w:tblCellSpacing w:w="15" w:type="dxa"/>
        </w:trPr>
        <w:tc>
          <w:tcPr>
            <w:tcW w:w="0" w:type="auto"/>
            <w:vAlign w:val="center"/>
            <w:hideMark/>
          </w:tcPr>
          <w:p w14:paraId="17F55410"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lastRenderedPageBreak/>
              <w:t>Financial Instrument</w:t>
            </w:r>
          </w:p>
        </w:tc>
        <w:tc>
          <w:tcPr>
            <w:tcW w:w="0" w:type="auto"/>
            <w:vAlign w:val="center"/>
            <w:hideMark/>
          </w:tcPr>
          <w:p w14:paraId="39A69738"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is traded through</w:t>
            </w:r>
          </w:p>
        </w:tc>
        <w:tc>
          <w:tcPr>
            <w:tcW w:w="0" w:type="auto"/>
            <w:vAlign w:val="center"/>
            <w:hideMark/>
          </w:tcPr>
          <w:p w14:paraId="47041C08"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Order Request</w:t>
            </w:r>
          </w:p>
        </w:tc>
      </w:tr>
      <w:tr w:rsidR="00C3105B" w:rsidRPr="00C3105B" w14:paraId="6AC5B7F5" w14:textId="77777777">
        <w:trPr>
          <w:tblCellSpacing w:w="15" w:type="dxa"/>
        </w:trPr>
        <w:tc>
          <w:tcPr>
            <w:tcW w:w="0" w:type="auto"/>
            <w:vAlign w:val="center"/>
            <w:hideMark/>
          </w:tcPr>
          <w:p w14:paraId="3228BD9F"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Trading Venue</w:t>
            </w:r>
          </w:p>
        </w:tc>
        <w:tc>
          <w:tcPr>
            <w:tcW w:w="0" w:type="auto"/>
            <w:vAlign w:val="center"/>
            <w:hideMark/>
          </w:tcPr>
          <w:p w14:paraId="5FFF5939"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receives</w:t>
            </w:r>
          </w:p>
        </w:tc>
        <w:tc>
          <w:tcPr>
            <w:tcW w:w="0" w:type="auto"/>
            <w:vAlign w:val="center"/>
            <w:hideMark/>
          </w:tcPr>
          <w:p w14:paraId="620EBF17"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Order Request</w:t>
            </w:r>
          </w:p>
        </w:tc>
      </w:tr>
      <w:tr w:rsidR="00C3105B" w:rsidRPr="00C3105B" w14:paraId="7A3E4C94" w14:textId="77777777">
        <w:trPr>
          <w:tblCellSpacing w:w="15" w:type="dxa"/>
        </w:trPr>
        <w:tc>
          <w:tcPr>
            <w:tcW w:w="0" w:type="auto"/>
            <w:vAlign w:val="center"/>
            <w:hideMark/>
          </w:tcPr>
          <w:p w14:paraId="3E2F33B5"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Order Gateway</w:t>
            </w:r>
          </w:p>
        </w:tc>
        <w:tc>
          <w:tcPr>
            <w:tcW w:w="0" w:type="auto"/>
            <w:vAlign w:val="center"/>
            <w:hideMark/>
          </w:tcPr>
          <w:p w14:paraId="33DF6A6A"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routes</w:t>
            </w:r>
          </w:p>
        </w:tc>
        <w:tc>
          <w:tcPr>
            <w:tcW w:w="0" w:type="auto"/>
            <w:vAlign w:val="center"/>
            <w:hideMark/>
          </w:tcPr>
          <w:p w14:paraId="1D023F2C"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Order Request</w:t>
            </w:r>
          </w:p>
        </w:tc>
      </w:tr>
      <w:tr w:rsidR="00C3105B" w:rsidRPr="00C3105B" w14:paraId="741BE95E" w14:textId="77777777">
        <w:trPr>
          <w:tblCellSpacing w:w="15" w:type="dxa"/>
        </w:trPr>
        <w:tc>
          <w:tcPr>
            <w:tcW w:w="0" w:type="auto"/>
            <w:vAlign w:val="center"/>
            <w:hideMark/>
          </w:tcPr>
          <w:p w14:paraId="430CC28D"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Order Request</w:t>
            </w:r>
          </w:p>
        </w:tc>
        <w:tc>
          <w:tcPr>
            <w:tcW w:w="0" w:type="auto"/>
            <w:vAlign w:val="center"/>
            <w:hideMark/>
          </w:tcPr>
          <w:p w14:paraId="5B906D91"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results in</w:t>
            </w:r>
          </w:p>
        </w:tc>
        <w:tc>
          <w:tcPr>
            <w:tcW w:w="0" w:type="auto"/>
            <w:vAlign w:val="center"/>
            <w:hideMark/>
          </w:tcPr>
          <w:p w14:paraId="4EC8456B"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Execution Report</w:t>
            </w:r>
          </w:p>
        </w:tc>
      </w:tr>
      <w:tr w:rsidR="00C3105B" w:rsidRPr="00C3105B" w14:paraId="7943473B" w14:textId="77777777">
        <w:trPr>
          <w:tblCellSpacing w:w="15" w:type="dxa"/>
        </w:trPr>
        <w:tc>
          <w:tcPr>
            <w:tcW w:w="0" w:type="auto"/>
            <w:vAlign w:val="center"/>
            <w:hideMark/>
          </w:tcPr>
          <w:p w14:paraId="6DD4B0A2"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Trading Venue</w:t>
            </w:r>
          </w:p>
        </w:tc>
        <w:tc>
          <w:tcPr>
            <w:tcW w:w="0" w:type="auto"/>
            <w:vAlign w:val="center"/>
            <w:hideMark/>
          </w:tcPr>
          <w:p w14:paraId="13892FDD"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confirms</w:t>
            </w:r>
          </w:p>
        </w:tc>
        <w:tc>
          <w:tcPr>
            <w:tcW w:w="0" w:type="auto"/>
            <w:vAlign w:val="center"/>
            <w:hideMark/>
          </w:tcPr>
          <w:p w14:paraId="10FDF240"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Execution Report</w:t>
            </w:r>
          </w:p>
        </w:tc>
      </w:tr>
      <w:tr w:rsidR="00C3105B" w:rsidRPr="00C3105B" w14:paraId="621F6695" w14:textId="77777777">
        <w:trPr>
          <w:tblCellSpacing w:w="15" w:type="dxa"/>
        </w:trPr>
        <w:tc>
          <w:tcPr>
            <w:tcW w:w="0" w:type="auto"/>
            <w:vAlign w:val="center"/>
            <w:hideMark/>
          </w:tcPr>
          <w:p w14:paraId="2510954D"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Trading Strategy</w:t>
            </w:r>
          </w:p>
        </w:tc>
        <w:tc>
          <w:tcPr>
            <w:tcW w:w="0" w:type="auto"/>
            <w:vAlign w:val="center"/>
            <w:hideMark/>
          </w:tcPr>
          <w:p w14:paraId="083C6FFC"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is governed by</w:t>
            </w:r>
          </w:p>
        </w:tc>
        <w:tc>
          <w:tcPr>
            <w:tcW w:w="0" w:type="auto"/>
            <w:vAlign w:val="center"/>
            <w:hideMark/>
          </w:tcPr>
          <w:p w14:paraId="11A0D531"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Risk Limit</w:t>
            </w:r>
          </w:p>
        </w:tc>
      </w:tr>
      <w:tr w:rsidR="00C3105B" w:rsidRPr="00C3105B" w14:paraId="3D2C559F" w14:textId="77777777">
        <w:trPr>
          <w:tblCellSpacing w:w="15" w:type="dxa"/>
        </w:trPr>
        <w:tc>
          <w:tcPr>
            <w:tcW w:w="0" w:type="auto"/>
            <w:vAlign w:val="center"/>
            <w:hideMark/>
          </w:tcPr>
          <w:p w14:paraId="69AF3B4B"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Risk Limit</w:t>
            </w:r>
          </w:p>
        </w:tc>
        <w:tc>
          <w:tcPr>
            <w:tcW w:w="0" w:type="auto"/>
            <w:vAlign w:val="center"/>
            <w:hideMark/>
          </w:tcPr>
          <w:p w14:paraId="02828BEF"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triggers</w:t>
            </w:r>
          </w:p>
        </w:tc>
        <w:tc>
          <w:tcPr>
            <w:tcW w:w="0" w:type="auto"/>
            <w:vAlign w:val="center"/>
            <w:hideMark/>
          </w:tcPr>
          <w:p w14:paraId="653F0193"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Risk Event</w:t>
            </w:r>
          </w:p>
        </w:tc>
      </w:tr>
      <w:tr w:rsidR="00C3105B" w:rsidRPr="00C3105B" w14:paraId="1DC8BAB1" w14:textId="77777777">
        <w:trPr>
          <w:tblCellSpacing w:w="15" w:type="dxa"/>
        </w:trPr>
        <w:tc>
          <w:tcPr>
            <w:tcW w:w="0" w:type="auto"/>
            <w:vAlign w:val="center"/>
            <w:hideMark/>
          </w:tcPr>
          <w:p w14:paraId="68DD90D9"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Trading Strategy</w:t>
            </w:r>
          </w:p>
        </w:tc>
        <w:tc>
          <w:tcPr>
            <w:tcW w:w="0" w:type="auto"/>
            <w:vAlign w:val="center"/>
            <w:hideMark/>
          </w:tcPr>
          <w:p w14:paraId="170AB7BD"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generates</w:t>
            </w:r>
          </w:p>
        </w:tc>
        <w:tc>
          <w:tcPr>
            <w:tcW w:w="0" w:type="auto"/>
            <w:vAlign w:val="center"/>
            <w:hideMark/>
          </w:tcPr>
          <w:p w14:paraId="11379E83"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Risk Event</w:t>
            </w:r>
          </w:p>
        </w:tc>
      </w:tr>
      <w:tr w:rsidR="00C3105B" w:rsidRPr="00C3105B" w14:paraId="15F4A9BC" w14:textId="77777777">
        <w:trPr>
          <w:tblCellSpacing w:w="15" w:type="dxa"/>
        </w:trPr>
        <w:tc>
          <w:tcPr>
            <w:tcW w:w="0" w:type="auto"/>
            <w:vAlign w:val="center"/>
            <w:hideMark/>
          </w:tcPr>
          <w:p w14:paraId="38AEED7F"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Trading Strategy</w:t>
            </w:r>
          </w:p>
        </w:tc>
        <w:tc>
          <w:tcPr>
            <w:tcW w:w="0" w:type="auto"/>
            <w:vAlign w:val="center"/>
            <w:hideMark/>
          </w:tcPr>
          <w:p w14:paraId="29D9E8C5"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holds</w:t>
            </w:r>
          </w:p>
        </w:tc>
        <w:tc>
          <w:tcPr>
            <w:tcW w:w="0" w:type="auto"/>
            <w:vAlign w:val="center"/>
            <w:hideMark/>
          </w:tcPr>
          <w:p w14:paraId="27C399EC"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Position Snapshot</w:t>
            </w:r>
          </w:p>
        </w:tc>
      </w:tr>
      <w:tr w:rsidR="00C3105B" w:rsidRPr="00C3105B" w14:paraId="25374521" w14:textId="77777777">
        <w:trPr>
          <w:tblCellSpacing w:w="15" w:type="dxa"/>
        </w:trPr>
        <w:tc>
          <w:tcPr>
            <w:tcW w:w="0" w:type="auto"/>
            <w:vAlign w:val="center"/>
            <w:hideMark/>
          </w:tcPr>
          <w:p w14:paraId="66205135"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Financial Instrument</w:t>
            </w:r>
          </w:p>
        </w:tc>
        <w:tc>
          <w:tcPr>
            <w:tcW w:w="0" w:type="auto"/>
            <w:vAlign w:val="center"/>
            <w:hideMark/>
          </w:tcPr>
          <w:p w14:paraId="00D85C23"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is held in</w:t>
            </w:r>
          </w:p>
        </w:tc>
        <w:tc>
          <w:tcPr>
            <w:tcW w:w="0" w:type="auto"/>
            <w:vAlign w:val="center"/>
            <w:hideMark/>
          </w:tcPr>
          <w:p w14:paraId="07536430"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Position Snapshot</w:t>
            </w:r>
          </w:p>
        </w:tc>
      </w:tr>
      <w:tr w:rsidR="00C3105B" w:rsidRPr="00C3105B" w14:paraId="2F39B413" w14:textId="77777777">
        <w:trPr>
          <w:tblCellSpacing w:w="15" w:type="dxa"/>
        </w:trPr>
        <w:tc>
          <w:tcPr>
            <w:tcW w:w="0" w:type="auto"/>
            <w:vAlign w:val="center"/>
            <w:hideMark/>
          </w:tcPr>
          <w:p w14:paraId="5463D11A"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Trading Strategy</w:t>
            </w:r>
          </w:p>
        </w:tc>
        <w:tc>
          <w:tcPr>
            <w:tcW w:w="0" w:type="auto"/>
            <w:vAlign w:val="center"/>
            <w:hideMark/>
          </w:tcPr>
          <w:p w14:paraId="1459A6EE"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produces</w:t>
            </w:r>
          </w:p>
        </w:tc>
        <w:tc>
          <w:tcPr>
            <w:tcW w:w="0" w:type="auto"/>
            <w:vAlign w:val="center"/>
            <w:hideMark/>
          </w:tcPr>
          <w:p w14:paraId="4E65B766"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Daily Profit and Loss</w:t>
            </w:r>
          </w:p>
        </w:tc>
      </w:tr>
      <w:tr w:rsidR="00C3105B" w:rsidRPr="00C3105B" w14:paraId="2DFE5EE1" w14:textId="77777777">
        <w:trPr>
          <w:tblCellSpacing w:w="15" w:type="dxa"/>
        </w:trPr>
        <w:tc>
          <w:tcPr>
            <w:tcW w:w="0" w:type="auto"/>
            <w:vAlign w:val="center"/>
            <w:hideMark/>
          </w:tcPr>
          <w:p w14:paraId="53BE0595"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Financial Instrument</w:t>
            </w:r>
          </w:p>
        </w:tc>
        <w:tc>
          <w:tcPr>
            <w:tcW w:w="0" w:type="auto"/>
            <w:vAlign w:val="center"/>
            <w:hideMark/>
          </w:tcPr>
          <w:p w14:paraId="3BE90650"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contributes to</w:t>
            </w:r>
          </w:p>
        </w:tc>
        <w:tc>
          <w:tcPr>
            <w:tcW w:w="0" w:type="auto"/>
            <w:vAlign w:val="center"/>
            <w:hideMark/>
          </w:tcPr>
          <w:p w14:paraId="75A3F517"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Daily Profit and Loss</w:t>
            </w:r>
          </w:p>
        </w:tc>
      </w:tr>
      <w:tr w:rsidR="00C3105B" w:rsidRPr="00C3105B" w14:paraId="0CD34DE2" w14:textId="77777777">
        <w:trPr>
          <w:tblCellSpacing w:w="15" w:type="dxa"/>
        </w:trPr>
        <w:tc>
          <w:tcPr>
            <w:tcW w:w="0" w:type="auto"/>
            <w:vAlign w:val="center"/>
            <w:hideMark/>
          </w:tcPr>
          <w:p w14:paraId="128AAA65"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Order Request</w:t>
            </w:r>
          </w:p>
        </w:tc>
        <w:tc>
          <w:tcPr>
            <w:tcW w:w="0" w:type="auto"/>
            <w:vAlign w:val="center"/>
            <w:hideMark/>
          </w:tcPr>
          <w:p w14:paraId="6CB79132"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is measured by</w:t>
            </w:r>
          </w:p>
        </w:tc>
        <w:tc>
          <w:tcPr>
            <w:tcW w:w="0" w:type="auto"/>
            <w:vAlign w:val="center"/>
            <w:hideMark/>
          </w:tcPr>
          <w:p w14:paraId="594A2752"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Latency Measurement</w:t>
            </w:r>
          </w:p>
        </w:tc>
      </w:tr>
      <w:tr w:rsidR="00C3105B" w:rsidRPr="00C3105B" w14:paraId="17D1DD74" w14:textId="77777777">
        <w:trPr>
          <w:tblCellSpacing w:w="15" w:type="dxa"/>
        </w:trPr>
        <w:tc>
          <w:tcPr>
            <w:tcW w:w="0" w:type="auto"/>
            <w:vAlign w:val="center"/>
            <w:hideMark/>
          </w:tcPr>
          <w:p w14:paraId="215F8975"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Market Data Tick</w:t>
            </w:r>
          </w:p>
        </w:tc>
        <w:tc>
          <w:tcPr>
            <w:tcW w:w="0" w:type="auto"/>
            <w:vAlign w:val="center"/>
            <w:hideMark/>
          </w:tcPr>
          <w:p w14:paraId="69290360"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is measured by</w:t>
            </w:r>
          </w:p>
        </w:tc>
        <w:tc>
          <w:tcPr>
            <w:tcW w:w="0" w:type="auto"/>
            <w:vAlign w:val="center"/>
            <w:hideMark/>
          </w:tcPr>
          <w:p w14:paraId="65736AB7"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Latency Measurement</w:t>
            </w:r>
          </w:p>
        </w:tc>
      </w:tr>
      <w:tr w:rsidR="00C3105B" w:rsidRPr="00C3105B" w14:paraId="2A9F15DA" w14:textId="77777777">
        <w:trPr>
          <w:tblCellSpacing w:w="15" w:type="dxa"/>
        </w:trPr>
        <w:tc>
          <w:tcPr>
            <w:tcW w:w="0" w:type="auto"/>
            <w:vAlign w:val="center"/>
            <w:hideMark/>
          </w:tcPr>
          <w:p w14:paraId="69295EFD"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Reference Data</w:t>
            </w:r>
          </w:p>
        </w:tc>
        <w:tc>
          <w:tcPr>
            <w:tcW w:w="0" w:type="auto"/>
            <w:vAlign w:val="center"/>
            <w:hideMark/>
          </w:tcPr>
          <w:p w14:paraId="732E046C"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describes</w:t>
            </w:r>
          </w:p>
        </w:tc>
        <w:tc>
          <w:tcPr>
            <w:tcW w:w="0" w:type="auto"/>
            <w:vAlign w:val="center"/>
            <w:hideMark/>
          </w:tcPr>
          <w:p w14:paraId="476C8E62"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Financial Instrument</w:t>
            </w:r>
          </w:p>
        </w:tc>
      </w:tr>
      <w:tr w:rsidR="00C3105B" w:rsidRPr="00C3105B" w14:paraId="6017C1B8" w14:textId="77777777">
        <w:trPr>
          <w:tblCellSpacing w:w="15" w:type="dxa"/>
        </w:trPr>
        <w:tc>
          <w:tcPr>
            <w:tcW w:w="0" w:type="auto"/>
            <w:vAlign w:val="center"/>
            <w:hideMark/>
          </w:tcPr>
          <w:p w14:paraId="34161447"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Reference Data</w:t>
            </w:r>
          </w:p>
        </w:tc>
        <w:tc>
          <w:tcPr>
            <w:tcW w:w="0" w:type="auto"/>
            <w:vAlign w:val="center"/>
            <w:hideMark/>
          </w:tcPr>
          <w:p w14:paraId="4E14B797"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classifies</w:t>
            </w:r>
          </w:p>
        </w:tc>
        <w:tc>
          <w:tcPr>
            <w:tcW w:w="0" w:type="auto"/>
            <w:vAlign w:val="center"/>
            <w:hideMark/>
          </w:tcPr>
          <w:p w14:paraId="0BD406DB"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Trading Venue</w:t>
            </w:r>
          </w:p>
        </w:tc>
      </w:tr>
      <w:tr w:rsidR="00C3105B" w:rsidRPr="00C3105B" w14:paraId="6D7AFC5E" w14:textId="77777777">
        <w:trPr>
          <w:tblCellSpacing w:w="15" w:type="dxa"/>
        </w:trPr>
        <w:tc>
          <w:tcPr>
            <w:tcW w:w="0" w:type="auto"/>
            <w:vAlign w:val="center"/>
            <w:hideMark/>
          </w:tcPr>
          <w:p w14:paraId="0A6F9899"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Reference Data</w:t>
            </w:r>
          </w:p>
        </w:tc>
        <w:tc>
          <w:tcPr>
            <w:tcW w:w="0" w:type="auto"/>
            <w:vAlign w:val="center"/>
            <w:hideMark/>
          </w:tcPr>
          <w:p w14:paraId="763DD682"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supports</w:t>
            </w:r>
          </w:p>
        </w:tc>
        <w:tc>
          <w:tcPr>
            <w:tcW w:w="0" w:type="auto"/>
            <w:vAlign w:val="center"/>
            <w:hideMark/>
          </w:tcPr>
          <w:p w14:paraId="3D5B2A85" w14:textId="77777777" w:rsidR="00C3105B" w:rsidRPr="00C3105B" w:rsidRDefault="00C3105B" w:rsidP="00C3105B">
            <w:pPr>
              <w:spacing w:beforeAutospacing="1" w:after="100" w:afterAutospacing="1" w:line="240" w:lineRule="auto"/>
              <w:rPr>
                <w:rFonts w:eastAsia="Times New Roman" w:cs="Times New Roman"/>
                <w:kern w:val="0"/>
                <w:szCs w:val="24"/>
                <w14:ligatures w14:val="none"/>
              </w:rPr>
            </w:pPr>
            <w:r w:rsidRPr="00C3105B">
              <w:rPr>
                <w:rFonts w:eastAsia="Times New Roman" w:cs="Times New Roman"/>
                <w:kern w:val="0"/>
                <w:szCs w:val="24"/>
                <w14:ligatures w14:val="none"/>
              </w:rPr>
              <w:t>Trading Strategy</w:t>
            </w:r>
          </w:p>
        </w:tc>
      </w:tr>
    </w:tbl>
    <w:p w14:paraId="0094782F" w14:textId="77777777" w:rsidR="000E37DF" w:rsidRDefault="000E37DF" w:rsidP="00C3105B">
      <w:pPr>
        <w:spacing w:beforeAutospacing="1" w:after="100" w:afterAutospacing="1" w:line="240" w:lineRule="auto"/>
        <w:rPr>
          <w:rFonts w:eastAsia="Times New Roman" w:cs="Times New Roman"/>
          <w:kern w:val="0"/>
          <w:szCs w:val="24"/>
          <w14:ligatures w14:val="none"/>
        </w:rPr>
      </w:pPr>
    </w:p>
    <w:p w14:paraId="22308A00" w14:textId="4C23482B" w:rsidR="00C3105B" w:rsidRPr="00C3105B" w:rsidRDefault="000E37DF" w:rsidP="000E37DF">
      <w:pPr>
        <w:pStyle w:val="BookHeading3"/>
      </w:pPr>
      <w:r>
        <w:t>Disclaimer</w:t>
      </w:r>
    </w:p>
    <w:p w14:paraId="79FF61A2" w14:textId="77777777" w:rsidR="000E37DF" w:rsidRDefault="000E37DF" w:rsidP="000E37DF">
      <w:r w:rsidRPr="000E37DF">
        <w:t xml:space="preserve">All example company names, trading venues, securities, strategies, and datasets used within this product are entirely fictional and are provided solely for educational and demonstration purposes. </w:t>
      </w:r>
    </w:p>
    <w:p w14:paraId="23021C13" w14:textId="3107D87F" w:rsidR="000E37DF" w:rsidRPr="000E37DF" w:rsidRDefault="000E37DF" w:rsidP="000E37DF">
      <w:r w:rsidRPr="000E37DF">
        <w:t xml:space="preserve">The material was created as original instructional content and is intended to provide a safe, practical, and understandable introduction to </w:t>
      </w:r>
      <w:r>
        <w:t>data structures and SQL techniques commonly used in</w:t>
      </w:r>
      <w:r w:rsidRPr="000E37DF">
        <w:t xml:space="preserve"> </w:t>
      </w:r>
      <w:r>
        <w:t>high-frequency</w:t>
      </w:r>
      <w:r w:rsidRPr="000E37DF">
        <w:t xml:space="preserve"> trading environments.</w:t>
      </w:r>
    </w:p>
    <w:p w14:paraId="22FBCE56" w14:textId="77777777" w:rsidR="000E37DF" w:rsidRPr="000E37DF" w:rsidRDefault="000E37DF" w:rsidP="000E37DF">
      <w:r w:rsidRPr="000E37DF">
        <w:t>© Grumpy Old IT Guy Publishers / Angelo R. Bobak 2026.</w:t>
      </w:r>
    </w:p>
    <w:p w14:paraId="48C68505" w14:textId="77777777" w:rsidR="00EA144A" w:rsidRDefault="00EA144A"/>
    <w:sectPr w:rsidR="00EA14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A30"/>
    <w:rsid w:val="0000050F"/>
    <w:rsid w:val="000008AB"/>
    <w:rsid w:val="00001061"/>
    <w:rsid w:val="000019E1"/>
    <w:rsid w:val="000072E8"/>
    <w:rsid w:val="0001317C"/>
    <w:rsid w:val="00013659"/>
    <w:rsid w:val="0001635D"/>
    <w:rsid w:val="0001648E"/>
    <w:rsid w:val="00016889"/>
    <w:rsid w:val="00017394"/>
    <w:rsid w:val="00021575"/>
    <w:rsid w:val="00021D17"/>
    <w:rsid w:val="0002607D"/>
    <w:rsid w:val="00027D45"/>
    <w:rsid w:val="00027F13"/>
    <w:rsid w:val="00030E84"/>
    <w:rsid w:val="000320B2"/>
    <w:rsid w:val="00032344"/>
    <w:rsid w:val="000356F1"/>
    <w:rsid w:val="00037400"/>
    <w:rsid w:val="00041940"/>
    <w:rsid w:val="00042450"/>
    <w:rsid w:val="00042762"/>
    <w:rsid w:val="00042B2D"/>
    <w:rsid w:val="00043421"/>
    <w:rsid w:val="00044008"/>
    <w:rsid w:val="0004613C"/>
    <w:rsid w:val="00047913"/>
    <w:rsid w:val="000533AE"/>
    <w:rsid w:val="00055012"/>
    <w:rsid w:val="000567E0"/>
    <w:rsid w:val="00056BBB"/>
    <w:rsid w:val="00056DBB"/>
    <w:rsid w:val="00061E8F"/>
    <w:rsid w:val="00062D06"/>
    <w:rsid w:val="0006391A"/>
    <w:rsid w:val="00065BA8"/>
    <w:rsid w:val="00065F1E"/>
    <w:rsid w:val="00066341"/>
    <w:rsid w:val="00070008"/>
    <w:rsid w:val="0007025C"/>
    <w:rsid w:val="00070674"/>
    <w:rsid w:val="00072687"/>
    <w:rsid w:val="000753C5"/>
    <w:rsid w:val="000759D3"/>
    <w:rsid w:val="00075C7E"/>
    <w:rsid w:val="00080B46"/>
    <w:rsid w:val="00082C64"/>
    <w:rsid w:val="00085AE8"/>
    <w:rsid w:val="00091F4C"/>
    <w:rsid w:val="00094007"/>
    <w:rsid w:val="00095A60"/>
    <w:rsid w:val="000964CA"/>
    <w:rsid w:val="00097072"/>
    <w:rsid w:val="000A5F0F"/>
    <w:rsid w:val="000B09A4"/>
    <w:rsid w:val="000B1ED4"/>
    <w:rsid w:val="000B7C49"/>
    <w:rsid w:val="000C08EF"/>
    <w:rsid w:val="000C132C"/>
    <w:rsid w:val="000C1503"/>
    <w:rsid w:val="000C276E"/>
    <w:rsid w:val="000C4A2B"/>
    <w:rsid w:val="000D0C2F"/>
    <w:rsid w:val="000D25D1"/>
    <w:rsid w:val="000D291F"/>
    <w:rsid w:val="000D3493"/>
    <w:rsid w:val="000E37DF"/>
    <w:rsid w:val="000E5858"/>
    <w:rsid w:val="000E695D"/>
    <w:rsid w:val="000F2BFB"/>
    <w:rsid w:val="000F3C5F"/>
    <w:rsid w:val="000F5018"/>
    <w:rsid w:val="000F534E"/>
    <w:rsid w:val="000F7144"/>
    <w:rsid w:val="000F7D36"/>
    <w:rsid w:val="00100738"/>
    <w:rsid w:val="001014CC"/>
    <w:rsid w:val="00104910"/>
    <w:rsid w:val="00105733"/>
    <w:rsid w:val="0010726D"/>
    <w:rsid w:val="00110573"/>
    <w:rsid w:val="00113A9E"/>
    <w:rsid w:val="0011424B"/>
    <w:rsid w:val="0011461D"/>
    <w:rsid w:val="001158ED"/>
    <w:rsid w:val="00116973"/>
    <w:rsid w:val="00116BEE"/>
    <w:rsid w:val="00122152"/>
    <w:rsid w:val="00122FF7"/>
    <w:rsid w:val="0012653C"/>
    <w:rsid w:val="001275A2"/>
    <w:rsid w:val="001277E5"/>
    <w:rsid w:val="00130DD3"/>
    <w:rsid w:val="001312BD"/>
    <w:rsid w:val="00131FD1"/>
    <w:rsid w:val="00133ABA"/>
    <w:rsid w:val="00133DF6"/>
    <w:rsid w:val="00134E41"/>
    <w:rsid w:val="00137461"/>
    <w:rsid w:val="001424B4"/>
    <w:rsid w:val="00142C94"/>
    <w:rsid w:val="00145156"/>
    <w:rsid w:val="00145ABA"/>
    <w:rsid w:val="00146447"/>
    <w:rsid w:val="00146637"/>
    <w:rsid w:val="00146E58"/>
    <w:rsid w:val="00147FFC"/>
    <w:rsid w:val="00152DEA"/>
    <w:rsid w:val="00153E24"/>
    <w:rsid w:val="001602E7"/>
    <w:rsid w:val="001612DE"/>
    <w:rsid w:val="00161D89"/>
    <w:rsid w:val="001645FF"/>
    <w:rsid w:val="00164C3E"/>
    <w:rsid w:val="00166404"/>
    <w:rsid w:val="00166899"/>
    <w:rsid w:val="001670D2"/>
    <w:rsid w:val="00170CAC"/>
    <w:rsid w:val="00172B87"/>
    <w:rsid w:val="00176494"/>
    <w:rsid w:val="001774D0"/>
    <w:rsid w:val="00177B7F"/>
    <w:rsid w:val="00180DDC"/>
    <w:rsid w:val="00180EA3"/>
    <w:rsid w:val="00181805"/>
    <w:rsid w:val="00181CE4"/>
    <w:rsid w:val="00185DCF"/>
    <w:rsid w:val="00187218"/>
    <w:rsid w:val="00187A91"/>
    <w:rsid w:val="00193360"/>
    <w:rsid w:val="00193964"/>
    <w:rsid w:val="00193F15"/>
    <w:rsid w:val="001952F2"/>
    <w:rsid w:val="00196765"/>
    <w:rsid w:val="001970CE"/>
    <w:rsid w:val="001A3742"/>
    <w:rsid w:val="001A4EA5"/>
    <w:rsid w:val="001A5620"/>
    <w:rsid w:val="001B3C86"/>
    <w:rsid w:val="001B4DA8"/>
    <w:rsid w:val="001C1007"/>
    <w:rsid w:val="001C1986"/>
    <w:rsid w:val="001C2C51"/>
    <w:rsid w:val="001C3305"/>
    <w:rsid w:val="001C535B"/>
    <w:rsid w:val="001C53CC"/>
    <w:rsid w:val="001C6B3F"/>
    <w:rsid w:val="001C7F25"/>
    <w:rsid w:val="001D078C"/>
    <w:rsid w:val="001D1C04"/>
    <w:rsid w:val="001D38FE"/>
    <w:rsid w:val="001D6EBF"/>
    <w:rsid w:val="001E1CB0"/>
    <w:rsid w:val="001E1F7C"/>
    <w:rsid w:val="001E3E4B"/>
    <w:rsid w:val="001E67DA"/>
    <w:rsid w:val="001E7236"/>
    <w:rsid w:val="001F5E4E"/>
    <w:rsid w:val="00201439"/>
    <w:rsid w:val="002022A0"/>
    <w:rsid w:val="00204DFE"/>
    <w:rsid w:val="00207518"/>
    <w:rsid w:val="00210230"/>
    <w:rsid w:val="00213AA6"/>
    <w:rsid w:val="00215651"/>
    <w:rsid w:val="00216B9C"/>
    <w:rsid w:val="00217253"/>
    <w:rsid w:val="002173D2"/>
    <w:rsid w:val="00220A99"/>
    <w:rsid w:val="0022145C"/>
    <w:rsid w:val="00221FBA"/>
    <w:rsid w:val="002233F3"/>
    <w:rsid w:val="00226DC3"/>
    <w:rsid w:val="0023005E"/>
    <w:rsid w:val="00232C2F"/>
    <w:rsid w:val="00232F8D"/>
    <w:rsid w:val="00235335"/>
    <w:rsid w:val="00235336"/>
    <w:rsid w:val="00237B30"/>
    <w:rsid w:val="00237BF7"/>
    <w:rsid w:val="0024025A"/>
    <w:rsid w:val="00241C01"/>
    <w:rsid w:val="00242E1B"/>
    <w:rsid w:val="002438AF"/>
    <w:rsid w:val="00244A2A"/>
    <w:rsid w:val="0024629F"/>
    <w:rsid w:val="00250F74"/>
    <w:rsid w:val="00255C30"/>
    <w:rsid w:val="00256B77"/>
    <w:rsid w:val="0026052A"/>
    <w:rsid w:val="00260D91"/>
    <w:rsid w:val="00262201"/>
    <w:rsid w:val="00265704"/>
    <w:rsid w:val="00266300"/>
    <w:rsid w:val="002671BA"/>
    <w:rsid w:val="00271B74"/>
    <w:rsid w:val="002741E8"/>
    <w:rsid w:val="00274C23"/>
    <w:rsid w:val="00276D28"/>
    <w:rsid w:val="002779CF"/>
    <w:rsid w:val="002803EE"/>
    <w:rsid w:val="00281A57"/>
    <w:rsid w:val="00286A65"/>
    <w:rsid w:val="002877B5"/>
    <w:rsid w:val="00291477"/>
    <w:rsid w:val="00291DD8"/>
    <w:rsid w:val="002938DD"/>
    <w:rsid w:val="002955A0"/>
    <w:rsid w:val="00295884"/>
    <w:rsid w:val="002962B7"/>
    <w:rsid w:val="002A0D29"/>
    <w:rsid w:val="002A0E58"/>
    <w:rsid w:val="002A181C"/>
    <w:rsid w:val="002A396F"/>
    <w:rsid w:val="002A5A8B"/>
    <w:rsid w:val="002A7CC8"/>
    <w:rsid w:val="002B22B9"/>
    <w:rsid w:val="002C44AE"/>
    <w:rsid w:val="002C4994"/>
    <w:rsid w:val="002D0650"/>
    <w:rsid w:val="002D7D3C"/>
    <w:rsid w:val="002E18AC"/>
    <w:rsid w:val="002E2D07"/>
    <w:rsid w:val="002E30E2"/>
    <w:rsid w:val="002E31C9"/>
    <w:rsid w:val="002E64C1"/>
    <w:rsid w:val="002E67FA"/>
    <w:rsid w:val="002E6FCA"/>
    <w:rsid w:val="002E785C"/>
    <w:rsid w:val="002F2398"/>
    <w:rsid w:val="002F3239"/>
    <w:rsid w:val="0030084E"/>
    <w:rsid w:val="00300EA7"/>
    <w:rsid w:val="003011A7"/>
    <w:rsid w:val="00302497"/>
    <w:rsid w:val="003024CD"/>
    <w:rsid w:val="00304BCB"/>
    <w:rsid w:val="0030642C"/>
    <w:rsid w:val="003064F6"/>
    <w:rsid w:val="00312F95"/>
    <w:rsid w:val="00315299"/>
    <w:rsid w:val="00315F13"/>
    <w:rsid w:val="00316640"/>
    <w:rsid w:val="0032109E"/>
    <w:rsid w:val="00322C04"/>
    <w:rsid w:val="00322D64"/>
    <w:rsid w:val="003253E8"/>
    <w:rsid w:val="003260C4"/>
    <w:rsid w:val="003269F2"/>
    <w:rsid w:val="003309C6"/>
    <w:rsid w:val="00330C6C"/>
    <w:rsid w:val="00331DA5"/>
    <w:rsid w:val="00332058"/>
    <w:rsid w:val="00333878"/>
    <w:rsid w:val="003357E8"/>
    <w:rsid w:val="003360B0"/>
    <w:rsid w:val="00336286"/>
    <w:rsid w:val="003424D4"/>
    <w:rsid w:val="00343C93"/>
    <w:rsid w:val="0034487D"/>
    <w:rsid w:val="00345742"/>
    <w:rsid w:val="00345A2A"/>
    <w:rsid w:val="00346FF1"/>
    <w:rsid w:val="00351B13"/>
    <w:rsid w:val="00355067"/>
    <w:rsid w:val="003556B1"/>
    <w:rsid w:val="003564EE"/>
    <w:rsid w:val="00357141"/>
    <w:rsid w:val="0035770A"/>
    <w:rsid w:val="003606B5"/>
    <w:rsid w:val="00362E74"/>
    <w:rsid w:val="003632CE"/>
    <w:rsid w:val="00363ADC"/>
    <w:rsid w:val="0036409F"/>
    <w:rsid w:val="003657AB"/>
    <w:rsid w:val="00366CAC"/>
    <w:rsid w:val="003714A2"/>
    <w:rsid w:val="003714D3"/>
    <w:rsid w:val="00371779"/>
    <w:rsid w:val="003718CA"/>
    <w:rsid w:val="00373F97"/>
    <w:rsid w:val="003745A2"/>
    <w:rsid w:val="0037785A"/>
    <w:rsid w:val="003830B4"/>
    <w:rsid w:val="00383385"/>
    <w:rsid w:val="0038435B"/>
    <w:rsid w:val="00386595"/>
    <w:rsid w:val="00387D34"/>
    <w:rsid w:val="00392409"/>
    <w:rsid w:val="0039269A"/>
    <w:rsid w:val="003951E4"/>
    <w:rsid w:val="00395C62"/>
    <w:rsid w:val="0039679D"/>
    <w:rsid w:val="00397706"/>
    <w:rsid w:val="003A3501"/>
    <w:rsid w:val="003A464A"/>
    <w:rsid w:val="003B196C"/>
    <w:rsid w:val="003B3098"/>
    <w:rsid w:val="003C02E9"/>
    <w:rsid w:val="003C0B9C"/>
    <w:rsid w:val="003C2691"/>
    <w:rsid w:val="003C5511"/>
    <w:rsid w:val="003C6E6B"/>
    <w:rsid w:val="003D08EF"/>
    <w:rsid w:val="003D0A27"/>
    <w:rsid w:val="003D2339"/>
    <w:rsid w:val="003D43C4"/>
    <w:rsid w:val="003D58AA"/>
    <w:rsid w:val="003D6942"/>
    <w:rsid w:val="003E2C01"/>
    <w:rsid w:val="003E44EB"/>
    <w:rsid w:val="003E5811"/>
    <w:rsid w:val="003E6D33"/>
    <w:rsid w:val="003E77C8"/>
    <w:rsid w:val="003F0DCA"/>
    <w:rsid w:val="003F14DA"/>
    <w:rsid w:val="003F5827"/>
    <w:rsid w:val="003F7D87"/>
    <w:rsid w:val="00400A8F"/>
    <w:rsid w:val="00401B18"/>
    <w:rsid w:val="004022CC"/>
    <w:rsid w:val="0040426F"/>
    <w:rsid w:val="0040654F"/>
    <w:rsid w:val="00407408"/>
    <w:rsid w:val="00407550"/>
    <w:rsid w:val="00407A79"/>
    <w:rsid w:val="00410394"/>
    <w:rsid w:val="004114A4"/>
    <w:rsid w:val="00412C55"/>
    <w:rsid w:val="00414448"/>
    <w:rsid w:val="004170FA"/>
    <w:rsid w:val="00417C1C"/>
    <w:rsid w:val="00424560"/>
    <w:rsid w:val="00425392"/>
    <w:rsid w:val="004279B5"/>
    <w:rsid w:val="00427B3B"/>
    <w:rsid w:val="00432962"/>
    <w:rsid w:val="00433144"/>
    <w:rsid w:val="004349E8"/>
    <w:rsid w:val="0043595B"/>
    <w:rsid w:val="004362D3"/>
    <w:rsid w:val="0044063E"/>
    <w:rsid w:val="00441DBA"/>
    <w:rsid w:val="004477B4"/>
    <w:rsid w:val="004509EF"/>
    <w:rsid w:val="00451BEB"/>
    <w:rsid w:val="00452834"/>
    <w:rsid w:val="00454AAA"/>
    <w:rsid w:val="00455F46"/>
    <w:rsid w:val="00456FE2"/>
    <w:rsid w:val="00457187"/>
    <w:rsid w:val="00460E02"/>
    <w:rsid w:val="00463650"/>
    <w:rsid w:val="00464BF6"/>
    <w:rsid w:val="0047145F"/>
    <w:rsid w:val="00471937"/>
    <w:rsid w:val="004733E7"/>
    <w:rsid w:val="004735BD"/>
    <w:rsid w:val="00473605"/>
    <w:rsid w:val="00474335"/>
    <w:rsid w:val="00475284"/>
    <w:rsid w:val="004767FA"/>
    <w:rsid w:val="00480AA6"/>
    <w:rsid w:val="004825E3"/>
    <w:rsid w:val="0048340C"/>
    <w:rsid w:val="0048507E"/>
    <w:rsid w:val="0048612B"/>
    <w:rsid w:val="00486E7E"/>
    <w:rsid w:val="004874B3"/>
    <w:rsid w:val="004924C1"/>
    <w:rsid w:val="00497442"/>
    <w:rsid w:val="004A076D"/>
    <w:rsid w:val="004A29D3"/>
    <w:rsid w:val="004A2D76"/>
    <w:rsid w:val="004A4DA6"/>
    <w:rsid w:val="004A51DB"/>
    <w:rsid w:val="004A53DB"/>
    <w:rsid w:val="004A5B6C"/>
    <w:rsid w:val="004A7B9B"/>
    <w:rsid w:val="004B07D4"/>
    <w:rsid w:val="004B0CA1"/>
    <w:rsid w:val="004B361C"/>
    <w:rsid w:val="004B3B80"/>
    <w:rsid w:val="004B59B4"/>
    <w:rsid w:val="004C190E"/>
    <w:rsid w:val="004C2DE2"/>
    <w:rsid w:val="004C33F8"/>
    <w:rsid w:val="004C3E11"/>
    <w:rsid w:val="004C40DD"/>
    <w:rsid w:val="004C6E71"/>
    <w:rsid w:val="004D0EB6"/>
    <w:rsid w:val="004D20D9"/>
    <w:rsid w:val="004D2397"/>
    <w:rsid w:val="004D2EA8"/>
    <w:rsid w:val="004D5BE8"/>
    <w:rsid w:val="004E13C1"/>
    <w:rsid w:val="004E4168"/>
    <w:rsid w:val="004E45F1"/>
    <w:rsid w:val="004E5194"/>
    <w:rsid w:val="004E693E"/>
    <w:rsid w:val="004E7D29"/>
    <w:rsid w:val="004F0720"/>
    <w:rsid w:val="004F0D19"/>
    <w:rsid w:val="004F11E9"/>
    <w:rsid w:val="004F26A3"/>
    <w:rsid w:val="004F3534"/>
    <w:rsid w:val="004F35AA"/>
    <w:rsid w:val="004F4094"/>
    <w:rsid w:val="004F5245"/>
    <w:rsid w:val="004F572C"/>
    <w:rsid w:val="004F61C2"/>
    <w:rsid w:val="004F7410"/>
    <w:rsid w:val="004F7B62"/>
    <w:rsid w:val="005027CF"/>
    <w:rsid w:val="00502FF0"/>
    <w:rsid w:val="005044D2"/>
    <w:rsid w:val="00506B2D"/>
    <w:rsid w:val="005072DE"/>
    <w:rsid w:val="00507823"/>
    <w:rsid w:val="0051131B"/>
    <w:rsid w:val="00511BE0"/>
    <w:rsid w:val="005120CC"/>
    <w:rsid w:val="005133C7"/>
    <w:rsid w:val="005138D8"/>
    <w:rsid w:val="00515765"/>
    <w:rsid w:val="005158F2"/>
    <w:rsid w:val="005170B7"/>
    <w:rsid w:val="0051757E"/>
    <w:rsid w:val="00520316"/>
    <w:rsid w:val="005233F0"/>
    <w:rsid w:val="00526BD7"/>
    <w:rsid w:val="00533179"/>
    <w:rsid w:val="005340CE"/>
    <w:rsid w:val="00536CFD"/>
    <w:rsid w:val="00540B94"/>
    <w:rsid w:val="005424CC"/>
    <w:rsid w:val="00543A71"/>
    <w:rsid w:val="0054538B"/>
    <w:rsid w:val="005517BA"/>
    <w:rsid w:val="00552F24"/>
    <w:rsid w:val="005534B6"/>
    <w:rsid w:val="005535E9"/>
    <w:rsid w:val="00557713"/>
    <w:rsid w:val="0056004C"/>
    <w:rsid w:val="005614DE"/>
    <w:rsid w:val="00562D03"/>
    <w:rsid w:val="0056411F"/>
    <w:rsid w:val="005644AE"/>
    <w:rsid w:val="0056630B"/>
    <w:rsid w:val="005672D7"/>
    <w:rsid w:val="00570837"/>
    <w:rsid w:val="00571FA7"/>
    <w:rsid w:val="00573661"/>
    <w:rsid w:val="005768BA"/>
    <w:rsid w:val="005831A7"/>
    <w:rsid w:val="00584E89"/>
    <w:rsid w:val="00585242"/>
    <w:rsid w:val="00587DD6"/>
    <w:rsid w:val="005903AE"/>
    <w:rsid w:val="00591B44"/>
    <w:rsid w:val="00595161"/>
    <w:rsid w:val="00595DA5"/>
    <w:rsid w:val="00596B89"/>
    <w:rsid w:val="005A19CE"/>
    <w:rsid w:val="005A2CAA"/>
    <w:rsid w:val="005A44DE"/>
    <w:rsid w:val="005B2C3E"/>
    <w:rsid w:val="005B33DF"/>
    <w:rsid w:val="005B481D"/>
    <w:rsid w:val="005C116F"/>
    <w:rsid w:val="005C1B10"/>
    <w:rsid w:val="005C212F"/>
    <w:rsid w:val="005C215A"/>
    <w:rsid w:val="005C3D08"/>
    <w:rsid w:val="005C63B9"/>
    <w:rsid w:val="005C75F7"/>
    <w:rsid w:val="005C7C2E"/>
    <w:rsid w:val="005C7E57"/>
    <w:rsid w:val="005D3160"/>
    <w:rsid w:val="005D37A4"/>
    <w:rsid w:val="005D4643"/>
    <w:rsid w:val="005D4743"/>
    <w:rsid w:val="005D5DD4"/>
    <w:rsid w:val="005D6322"/>
    <w:rsid w:val="005D6814"/>
    <w:rsid w:val="005D6970"/>
    <w:rsid w:val="005E0009"/>
    <w:rsid w:val="005E17B4"/>
    <w:rsid w:val="005E4620"/>
    <w:rsid w:val="005E4FB5"/>
    <w:rsid w:val="005E75AB"/>
    <w:rsid w:val="005F3061"/>
    <w:rsid w:val="005F44F2"/>
    <w:rsid w:val="005F52C5"/>
    <w:rsid w:val="005F6556"/>
    <w:rsid w:val="00601B8B"/>
    <w:rsid w:val="006021FF"/>
    <w:rsid w:val="00602E9B"/>
    <w:rsid w:val="00604185"/>
    <w:rsid w:val="0060469E"/>
    <w:rsid w:val="00605EFF"/>
    <w:rsid w:val="006101D5"/>
    <w:rsid w:val="006121CB"/>
    <w:rsid w:val="00614409"/>
    <w:rsid w:val="0061601F"/>
    <w:rsid w:val="006174E4"/>
    <w:rsid w:val="006207BF"/>
    <w:rsid w:val="00623E27"/>
    <w:rsid w:val="006241FB"/>
    <w:rsid w:val="006250B8"/>
    <w:rsid w:val="00625D24"/>
    <w:rsid w:val="00625F77"/>
    <w:rsid w:val="006311A9"/>
    <w:rsid w:val="006320EF"/>
    <w:rsid w:val="00632196"/>
    <w:rsid w:val="0063393E"/>
    <w:rsid w:val="00634533"/>
    <w:rsid w:val="00634AF8"/>
    <w:rsid w:val="00641269"/>
    <w:rsid w:val="00641C17"/>
    <w:rsid w:val="00645188"/>
    <w:rsid w:val="00645660"/>
    <w:rsid w:val="00645739"/>
    <w:rsid w:val="00651220"/>
    <w:rsid w:val="006533DC"/>
    <w:rsid w:val="00653B07"/>
    <w:rsid w:val="006617AE"/>
    <w:rsid w:val="0066223B"/>
    <w:rsid w:val="00663C44"/>
    <w:rsid w:val="00663E31"/>
    <w:rsid w:val="006660C0"/>
    <w:rsid w:val="006667E1"/>
    <w:rsid w:val="006672D9"/>
    <w:rsid w:val="0066773F"/>
    <w:rsid w:val="006713D6"/>
    <w:rsid w:val="00672B15"/>
    <w:rsid w:val="00673D21"/>
    <w:rsid w:val="0067658F"/>
    <w:rsid w:val="006775B8"/>
    <w:rsid w:val="00681E62"/>
    <w:rsid w:val="0068295B"/>
    <w:rsid w:val="0068458B"/>
    <w:rsid w:val="00684DA8"/>
    <w:rsid w:val="00694A5E"/>
    <w:rsid w:val="00695AEA"/>
    <w:rsid w:val="006A0237"/>
    <w:rsid w:val="006A0BAF"/>
    <w:rsid w:val="006A2679"/>
    <w:rsid w:val="006A71F0"/>
    <w:rsid w:val="006B1105"/>
    <w:rsid w:val="006B4BAA"/>
    <w:rsid w:val="006B5178"/>
    <w:rsid w:val="006B5963"/>
    <w:rsid w:val="006B70A8"/>
    <w:rsid w:val="006B74DC"/>
    <w:rsid w:val="006B76CD"/>
    <w:rsid w:val="006B76D6"/>
    <w:rsid w:val="006B7DEC"/>
    <w:rsid w:val="006C0EAA"/>
    <w:rsid w:val="006C2F44"/>
    <w:rsid w:val="006C37BB"/>
    <w:rsid w:val="006C5A4E"/>
    <w:rsid w:val="006C5B8E"/>
    <w:rsid w:val="006C646F"/>
    <w:rsid w:val="006C6B06"/>
    <w:rsid w:val="006C766C"/>
    <w:rsid w:val="006C7873"/>
    <w:rsid w:val="006C7B81"/>
    <w:rsid w:val="006D15F4"/>
    <w:rsid w:val="006D2E0D"/>
    <w:rsid w:val="006D2EF3"/>
    <w:rsid w:val="006D481D"/>
    <w:rsid w:val="006D5D0D"/>
    <w:rsid w:val="006D7F00"/>
    <w:rsid w:val="006E1228"/>
    <w:rsid w:val="006E1FE5"/>
    <w:rsid w:val="006E2214"/>
    <w:rsid w:val="006E4D38"/>
    <w:rsid w:val="006F0C89"/>
    <w:rsid w:val="006F1887"/>
    <w:rsid w:val="006F2A04"/>
    <w:rsid w:val="006F3A97"/>
    <w:rsid w:val="006F6B4E"/>
    <w:rsid w:val="006F7656"/>
    <w:rsid w:val="00700137"/>
    <w:rsid w:val="00703135"/>
    <w:rsid w:val="00704AB0"/>
    <w:rsid w:val="00705D33"/>
    <w:rsid w:val="007107F2"/>
    <w:rsid w:val="00710D65"/>
    <w:rsid w:val="00711978"/>
    <w:rsid w:val="0071322D"/>
    <w:rsid w:val="0071383A"/>
    <w:rsid w:val="007140DB"/>
    <w:rsid w:val="0071428C"/>
    <w:rsid w:val="00715C34"/>
    <w:rsid w:val="00720954"/>
    <w:rsid w:val="007216BE"/>
    <w:rsid w:val="007223F4"/>
    <w:rsid w:val="00722C3D"/>
    <w:rsid w:val="007230E3"/>
    <w:rsid w:val="00724B33"/>
    <w:rsid w:val="00734527"/>
    <w:rsid w:val="00735544"/>
    <w:rsid w:val="00745012"/>
    <w:rsid w:val="007450BC"/>
    <w:rsid w:val="007454CF"/>
    <w:rsid w:val="00745D2E"/>
    <w:rsid w:val="00746153"/>
    <w:rsid w:val="0074629C"/>
    <w:rsid w:val="00751783"/>
    <w:rsid w:val="0075523E"/>
    <w:rsid w:val="007553AE"/>
    <w:rsid w:val="00762AA6"/>
    <w:rsid w:val="007651B2"/>
    <w:rsid w:val="0076561F"/>
    <w:rsid w:val="00766A02"/>
    <w:rsid w:val="007704D3"/>
    <w:rsid w:val="00774090"/>
    <w:rsid w:val="0077472D"/>
    <w:rsid w:val="00774BC7"/>
    <w:rsid w:val="0077718F"/>
    <w:rsid w:val="0078076B"/>
    <w:rsid w:val="0078147C"/>
    <w:rsid w:val="00786FBF"/>
    <w:rsid w:val="00787518"/>
    <w:rsid w:val="00795907"/>
    <w:rsid w:val="0079751C"/>
    <w:rsid w:val="00797F4B"/>
    <w:rsid w:val="007A16EB"/>
    <w:rsid w:val="007A1F4D"/>
    <w:rsid w:val="007A5D9E"/>
    <w:rsid w:val="007A6374"/>
    <w:rsid w:val="007A6410"/>
    <w:rsid w:val="007B08D4"/>
    <w:rsid w:val="007B0D62"/>
    <w:rsid w:val="007B1C94"/>
    <w:rsid w:val="007B1E8C"/>
    <w:rsid w:val="007B4E38"/>
    <w:rsid w:val="007B5851"/>
    <w:rsid w:val="007B5BD4"/>
    <w:rsid w:val="007B678F"/>
    <w:rsid w:val="007C0F8B"/>
    <w:rsid w:val="007C3F77"/>
    <w:rsid w:val="007D060A"/>
    <w:rsid w:val="007D0BDC"/>
    <w:rsid w:val="007D0CFE"/>
    <w:rsid w:val="007D11BF"/>
    <w:rsid w:val="007D4FBB"/>
    <w:rsid w:val="007D67EF"/>
    <w:rsid w:val="007D687D"/>
    <w:rsid w:val="007D7264"/>
    <w:rsid w:val="007E3BB9"/>
    <w:rsid w:val="007E3F7B"/>
    <w:rsid w:val="007E400C"/>
    <w:rsid w:val="007E530C"/>
    <w:rsid w:val="007E646E"/>
    <w:rsid w:val="007E77E7"/>
    <w:rsid w:val="007F2281"/>
    <w:rsid w:val="007F589E"/>
    <w:rsid w:val="007F7855"/>
    <w:rsid w:val="007F7A7C"/>
    <w:rsid w:val="00800D04"/>
    <w:rsid w:val="0080154B"/>
    <w:rsid w:val="00802C81"/>
    <w:rsid w:val="008072D8"/>
    <w:rsid w:val="00807B1D"/>
    <w:rsid w:val="00810083"/>
    <w:rsid w:val="00811375"/>
    <w:rsid w:val="008138FB"/>
    <w:rsid w:val="00814F67"/>
    <w:rsid w:val="00816112"/>
    <w:rsid w:val="00816275"/>
    <w:rsid w:val="008167E0"/>
    <w:rsid w:val="008177E9"/>
    <w:rsid w:val="00817AFA"/>
    <w:rsid w:val="0082770E"/>
    <w:rsid w:val="00827B56"/>
    <w:rsid w:val="00830A4B"/>
    <w:rsid w:val="008313D1"/>
    <w:rsid w:val="0083565C"/>
    <w:rsid w:val="00836322"/>
    <w:rsid w:val="00837FB1"/>
    <w:rsid w:val="008406D4"/>
    <w:rsid w:val="00844077"/>
    <w:rsid w:val="00846033"/>
    <w:rsid w:val="00847FCC"/>
    <w:rsid w:val="0085024E"/>
    <w:rsid w:val="00852BE5"/>
    <w:rsid w:val="0085504C"/>
    <w:rsid w:val="008560F7"/>
    <w:rsid w:val="008573D0"/>
    <w:rsid w:val="0086663D"/>
    <w:rsid w:val="00866831"/>
    <w:rsid w:val="00867F2E"/>
    <w:rsid w:val="008701DD"/>
    <w:rsid w:val="0087031F"/>
    <w:rsid w:val="008819B3"/>
    <w:rsid w:val="00885B1A"/>
    <w:rsid w:val="00886227"/>
    <w:rsid w:val="00890141"/>
    <w:rsid w:val="00891E4B"/>
    <w:rsid w:val="008928DA"/>
    <w:rsid w:val="00892B1C"/>
    <w:rsid w:val="00894301"/>
    <w:rsid w:val="008946F4"/>
    <w:rsid w:val="008968F0"/>
    <w:rsid w:val="00897B9C"/>
    <w:rsid w:val="00897C6F"/>
    <w:rsid w:val="008A2F9E"/>
    <w:rsid w:val="008A505C"/>
    <w:rsid w:val="008B084B"/>
    <w:rsid w:val="008B1391"/>
    <w:rsid w:val="008B2088"/>
    <w:rsid w:val="008B4BDB"/>
    <w:rsid w:val="008B6824"/>
    <w:rsid w:val="008C0F4A"/>
    <w:rsid w:val="008C1148"/>
    <w:rsid w:val="008C1268"/>
    <w:rsid w:val="008C196E"/>
    <w:rsid w:val="008C33B5"/>
    <w:rsid w:val="008C4089"/>
    <w:rsid w:val="008C556C"/>
    <w:rsid w:val="008D0DD7"/>
    <w:rsid w:val="008D1367"/>
    <w:rsid w:val="008D22C2"/>
    <w:rsid w:val="008D2F27"/>
    <w:rsid w:val="008D315A"/>
    <w:rsid w:val="008D55D3"/>
    <w:rsid w:val="008D78EB"/>
    <w:rsid w:val="008E2471"/>
    <w:rsid w:val="008E4FC1"/>
    <w:rsid w:val="008E6547"/>
    <w:rsid w:val="008E6A15"/>
    <w:rsid w:val="008F28E0"/>
    <w:rsid w:val="008F2E50"/>
    <w:rsid w:val="008F31A1"/>
    <w:rsid w:val="008F327A"/>
    <w:rsid w:val="008F66A9"/>
    <w:rsid w:val="00904AF9"/>
    <w:rsid w:val="00904BE7"/>
    <w:rsid w:val="0090695A"/>
    <w:rsid w:val="00906C83"/>
    <w:rsid w:val="00913A7E"/>
    <w:rsid w:val="00914FB8"/>
    <w:rsid w:val="00916F39"/>
    <w:rsid w:val="00921C50"/>
    <w:rsid w:val="009225B2"/>
    <w:rsid w:val="00922F27"/>
    <w:rsid w:val="009241D1"/>
    <w:rsid w:val="00927266"/>
    <w:rsid w:val="00933DD4"/>
    <w:rsid w:val="00934E68"/>
    <w:rsid w:val="00935C33"/>
    <w:rsid w:val="009449C9"/>
    <w:rsid w:val="00944B95"/>
    <w:rsid w:val="0094578E"/>
    <w:rsid w:val="00946A44"/>
    <w:rsid w:val="00947DF0"/>
    <w:rsid w:val="00951D45"/>
    <w:rsid w:val="00952542"/>
    <w:rsid w:val="00953973"/>
    <w:rsid w:val="00954186"/>
    <w:rsid w:val="00954FDA"/>
    <w:rsid w:val="00960C36"/>
    <w:rsid w:val="00960CAC"/>
    <w:rsid w:val="009615AF"/>
    <w:rsid w:val="009634AE"/>
    <w:rsid w:val="00963983"/>
    <w:rsid w:val="00964734"/>
    <w:rsid w:val="00966D3B"/>
    <w:rsid w:val="00967791"/>
    <w:rsid w:val="00971A31"/>
    <w:rsid w:val="00972F12"/>
    <w:rsid w:val="0097668F"/>
    <w:rsid w:val="00981580"/>
    <w:rsid w:val="00981851"/>
    <w:rsid w:val="00981D04"/>
    <w:rsid w:val="00982596"/>
    <w:rsid w:val="00982D75"/>
    <w:rsid w:val="009831BE"/>
    <w:rsid w:val="009831D9"/>
    <w:rsid w:val="00983365"/>
    <w:rsid w:val="00986D37"/>
    <w:rsid w:val="00987029"/>
    <w:rsid w:val="00987A2B"/>
    <w:rsid w:val="00990206"/>
    <w:rsid w:val="00990381"/>
    <w:rsid w:val="00992851"/>
    <w:rsid w:val="00992958"/>
    <w:rsid w:val="00996A72"/>
    <w:rsid w:val="00997273"/>
    <w:rsid w:val="009972C6"/>
    <w:rsid w:val="009A092C"/>
    <w:rsid w:val="009A1985"/>
    <w:rsid w:val="009A5FDA"/>
    <w:rsid w:val="009A742C"/>
    <w:rsid w:val="009B28AD"/>
    <w:rsid w:val="009B3556"/>
    <w:rsid w:val="009B3D1B"/>
    <w:rsid w:val="009B3F10"/>
    <w:rsid w:val="009B7BB2"/>
    <w:rsid w:val="009D0B90"/>
    <w:rsid w:val="009D2EB5"/>
    <w:rsid w:val="009D3396"/>
    <w:rsid w:val="009D53E8"/>
    <w:rsid w:val="009E1635"/>
    <w:rsid w:val="009E20E9"/>
    <w:rsid w:val="009E3670"/>
    <w:rsid w:val="009E4E86"/>
    <w:rsid w:val="009E50BB"/>
    <w:rsid w:val="009E77EA"/>
    <w:rsid w:val="009E7A68"/>
    <w:rsid w:val="009F00ED"/>
    <w:rsid w:val="009F19FB"/>
    <w:rsid w:val="009F1B39"/>
    <w:rsid w:val="009F3C56"/>
    <w:rsid w:val="009F4201"/>
    <w:rsid w:val="009F5AAE"/>
    <w:rsid w:val="009F5CC6"/>
    <w:rsid w:val="009F62A3"/>
    <w:rsid w:val="009F6B46"/>
    <w:rsid w:val="00A01254"/>
    <w:rsid w:val="00A05527"/>
    <w:rsid w:val="00A06452"/>
    <w:rsid w:val="00A0676F"/>
    <w:rsid w:val="00A06F56"/>
    <w:rsid w:val="00A1226D"/>
    <w:rsid w:val="00A13886"/>
    <w:rsid w:val="00A213D4"/>
    <w:rsid w:val="00A23A25"/>
    <w:rsid w:val="00A24FE0"/>
    <w:rsid w:val="00A27215"/>
    <w:rsid w:val="00A311A2"/>
    <w:rsid w:val="00A31ECE"/>
    <w:rsid w:val="00A3575B"/>
    <w:rsid w:val="00A36554"/>
    <w:rsid w:val="00A3658A"/>
    <w:rsid w:val="00A37D27"/>
    <w:rsid w:val="00A403CF"/>
    <w:rsid w:val="00A4161E"/>
    <w:rsid w:val="00A41E79"/>
    <w:rsid w:val="00A423B4"/>
    <w:rsid w:val="00A457E0"/>
    <w:rsid w:val="00A46A76"/>
    <w:rsid w:val="00A46B3E"/>
    <w:rsid w:val="00A510A6"/>
    <w:rsid w:val="00A51D09"/>
    <w:rsid w:val="00A5215A"/>
    <w:rsid w:val="00A522BF"/>
    <w:rsid w:val="00A526B4"/>
    <w:rsid w:val="00A549D4"/>
    <w:rsid w:val="00A55CD1"/>
    <w:rsid w:val="00A562C7"/>
    <w:rsid w:val="00A60730"/>
    <w:rsid w:val="00A60DCF"/>
    <w:rsid w:val="00A61E3C"/>
    <w:rsid w:val="00A64500"/>
    <w:rsid w:val="00A679C2"/>
    <w:rsid w:val="00A71312"/>
    <w:rsid w:val="00A744CB"/>
    <w:rsid w:val="00A77155"/>
    <w:rsid w:val="00A7780D"/>
    <w:rsid w:val="00A81E42"/>
    <w:rsid w:val="00A844FE"/>
    <w:rsid w:val="00A8770E"/>
    <w:rsid w:val="00A87D2C"/>
    <w:rsid w:val="00A87F79"/>
    <w:rsid w:val="00A91321"/>
    <w:rsid w:val="00A91666"/>
    <w:rsid w:val="00A936D1"/>
    <w:rsid w:val="00A95526"/>
    <w:rsid w:val="00A95564"/>
    <w:rsid w:val="00AA000D"/>
    <w:rsid w:val="00AA23CD"/>
    <w:rsid w:val="00AA315B"/>
    <w:rsid w:val="00AA4BB1"/>
    <w:rsid w:val="00AA6CA4"/>
    <w:rsid w:val="00AA6F98"/>
    <w:rsid w:val="00AB0C59"/>
    <w:rsid w:val="00AB5560"/>
    <w:rsid w:val="00AB7795"/>
    <w:rsid w:val="00AC34E6"/>
    <w:rsid w:val="00AD11F1"/>
    <w:rsid w:val="00AD18D1"/>
    <w:rsid w:val="00AD3333"/>
    <w:rsid w:val="00AD745B"/>
    <w:rsid w:val="00AD74B9"/>
    <w:rsid w:val="00AE2F74"/>
    <w:rsid w:val="00AE399F"/>
    <w:rsid w:val="00AE4729"/>
    <w:rsid w:val="00AE58E8"/>
    <w:rsid w:val="00AF094E"/>
    <w:rsid w:val="00AF6D5A"/>
    <w:rsid w:val="00B01D01"/>
    <w:rsid w:val="00B05EB9"/>
    <w:rsid w:val="00B11612"/>
    <w:rsid w:val="00B1427D"/>
    <w:rsid w:val="00B15620"/>
    <w:rsid w:val="00B1588F"/>
    <w:rsid w:val="00B20C5F"/>
    <w:rsid w:val="00B221B7"/>
    <w:rsid w:val="00B247B1"/>
    <w:rsid w:val="00B24AF9"/>
    <w:rsid w:val="00B25143"/>
    <w:rsid w:val="00B2771F"/>
    <w:rsid w:val="00B3001C"/>
    <w:rsid w:val="00B31F50"/>
    <w:rsid w:val="00B324E3"/>
    <w:rsid w:val="00B40742"/>
    <w:rsid w:val="00B426B8"/>
    <w:rsid w:val="00B43BA5"/>
    <w:rsid w:val="00B4476A"/>
    <w:rsid w:val="00B45DC5"/>
    <w:rsid w:val="00B504B1"/>
    <w:rsid w:val="00B538B7"/>
    <w:rsid w:val="00B549F2"/>
    <w:rsid w:val="00B55CAE"/>
    <w:rsid w:val="00B572C0"/>
    <w:rsid w:val="00B60DA0"/>
    <w:rsid w:val="00B60DC9"/>
    <w:rsid w:val="00B6151C"/>
    <w:rsid w:val="00B62CE5"/>
    <w:rsid w:val="00B6456C"/>
    <w:rsid w:val="00B64C84"/>
    <w:rsid w:val="00B663D9"/>
    <w:rsid w:val="00B67429"/>
    <w:rsid w:val="00B70025"/>
    <w:rsid w:val="00B70D1C"/>
    <w:rsid w:val="00B731E6"/>
    <w:rsid w:val="00B807C8"/>
    <w:rsid w:val="00B81B8F"/>
    <w:rsid w:val="00B81DCD"/>
    <w:rsid w:val="00B833DE"/>
    <w:rsid w:val="00B837B7"/>
    <w:rsid w:val="00B83E7C"/>
    <w:rsid w:val="00B85EC9"/>
    <w:rsid w:val="00B905CC"/>
    <w:rsid w:val="00B95BFF"/>
    <w:rsid w:val="00B96410"/>
    <w:rsid w:val="00B969A6"/>
    <w:rsid w:val="00B96FAE"/>
    <w:rsid w:val="00BA0DC5"/>
    <w:rsid w:val="00BA1E9B"/>
    <w:rsid w:val="00BA64A5"/>
    <w:rsid w:val="00BA67B6"/>
    <w:rsid w:val="00BB0130"/>
    <w:rsid w:val="00BB11B0"/>
    <w:rsid w:val="00BB3E92"/>
    <w:rsid w:val="00BB3FAF"/>
    <w:rsid w:val="00BB74B3"/>
    <w:rsid w:val="00BC0BA5"/>
    <w:rsid w:val="00BC23F2"/>
    <w:rsid w:val="00BC2A6C"/>
    <w:rsid w:val="00BC3DE2"/>
    <w:rsid w:val="00BC4473"/>
    <w:rsid w:val="00BC4534"/>
    <w:rsid w:val="00BC4BC1"/>
    <w:rsid w:val="00BC5FFC"/>
    <w:rsid w:val="00BC7907"/>
    <w:rsid w:val="00BC7FFE"/>
    <w:rsid w:val="00BD1985"/>
    <w:rsid w:val="00BD4B35"/>
    <w:rsid w:val="00BD5421"/>
    <w:rsid w:val="00BE057E"/>
    <w:rsid w:val="00BE2A7A"/>
    <w:rsid w:val="00BE4BF7"/>
    <w:rsid w:val="00BE7B4F"/>
    <w:rsid w:val="00BF1310"/>
    <w:rsid w:val="00BF14DC"/>
    <w:rsid w:val="00BF403A"/>
    <w:rsid w:val="00BF4FC5"/>
    <w:rsid w:val="00BF6EEE"/>
    <w:rsid w:val="00C00B1B"/>
    <w:rsid w:val="00C00C54"/>
    <w:rsid w:val="00C00FEF"/>
    <w:rsid w:val="00C0277B"/>
    <w:rsid w:val="00C033E9"/>
    <w:rsid w:val="00C04715"/>
    <w:rsid w:val="00C04881"/>
    <w:rsid w:val="00C04F2F"/>
    <w:rsid w:val="00C04F41"/>
    <w:rsid w:val="00C06748"/>
    <w:rsid w:val="00C06EDF"/>
    <w:rsid w:val="00C07BBD"/>
    <w:rsid w:val="00C11110"/>
    <w:rsid w:val="00C11BDE"/>
    <w:rsid w:val="00C12EA9"/>
    <w:rsid w:val="00C14869"/>
    <w:rsid w:val="00C17098"/>
    <w:rsid w:val="00C2126E"/>
    <w:rsid w:val="00C23470"/>
    <w:rsid w:val="00C2565F"/>
    <w:rsid w:val="00C2587E"/>
    <w:rsid w:val="00C25B40"/>
    <w:rsid w:val="00C25FDD"/>
    <w:rsid w:val="00C2655C"/>
    <w:rsid w:val="00C26949"/>
    <w:rsid w:val="00C277E6"/>
    <w:rsid w:val="00C30AFB"/>
    <w:rsid w:val="00C3105B"/>
    <w:rsid w:val="00C31F62"/>
    <w:rsid w:val="00C3306D"/>
    <w:rsid w:val="00C34DAF"/>
    <w:rsid w:val="00C356EC"/>
    <w:rsid w:val="00C3578C"/>
    <w:rsid w:val="00C363D6"/>
    <w:rsid w:val="00C41D7B"/>
    <w:rsid w:val="00C42B0C"/>
    <w:rsid w:val="00C432BE"/>
    <w:rsid w:val="00C45A38"/>
    <w:rsid w:val="00C46A54"/>
    <w:rsid w:val="00C47999"/>
    <w:rsid w:val="00C50991"/>
    <w:rsid w:val="00C510D9"/>
    <w:rsid w:val="00C5366D"/>
    <w:rsid w:val="00C5387F"/>
    <w:rsid w:val="00C54E7F"/>
    <w:rsid w:val="00C5504C"/>
    <w:rsid w:val="00C55688"/>
    <w:rsid w:val="00C56C8F"/>
    <w:rsid w:val="00C6674C"/>
    <w:rsid w:val="00C66C71"/>
    <w:rsid w:val="00C66F31"/>
    <w:rsid w:val="00C67DEE"/>
    <w:rsid w:val="00C70F37"/>
    <w:rsid w:val="00C7412F"/>
    <w:rsid w:val="00C74633"/>
    <w:rsid w:val="00C76787"/>
    <w:rsid w:val="00C80933"/>
    <w:rsid w:val="00C80A03"/>
    <w:rsid w:val="00C813F9"/>
    <w:rsid w:val="00C817D3"/>
    <w:rsid w:val="00C81921"/>
    <w:rsid w:val="00C83E9D"/>
    <w:rsid w:val="00C83FCC"/>
    <w:rsid w:val="00C85419"/>
    <w:rsid w:val="00C85DDA"/>
    <w:rsid w:val="00C87360"/>
    <w:rsid w:val="00C92C49"/>
    <w:rsid w:val="00C932AF"/>
    <w:rsid w:val="00C94AC6"/>
    <w:rsid w:val="00C965CD"/>
    <w:rsid w:val="00C967A0"/>
    <w:rsid w:val="00C97347"/>
    <w:rsid w:val="00C97699"/>
    <w:rsid w:val="00C977B1"/>
    <w:rsid w:val="00CA03B6"/>
    <w:rsid w:val="00CA08C6"/>
    <w:rsid w:val="00CA3614"/>
    <w:rsid w:val="00CA38B2"/>
    <w:rsid w:val="00CA5911"/>
    <w:rsid w:val="00CA60A0"/>
    <w:rsid w:val="00CA6A2A"/>
    <w:rsid w:val="00CA6CE1"/>
    <w:rsid w:val="00CB1807"/>
    <w:rsid w:val="00CB4A11"/>
    <w:rsid w:val="00CB55A8"/>
    <w:rsid w:val="00CB7998"/>
    <w:rsid w:val="00CC013B"/>
    <w:rsid w:val="00CC0266"/>
    <w:rsid w:val="00CC0424"/>
    <w:rsid w:val="00CC0C18"/>
    <w:rsid w:val="00CC1D45"/>
    <w:rsid w:val="00CC657D"/>
    <w:rsid w:val="00CD22EF"/>
    <w:rsid w:val="00CD23AE"/>
    <w:rsid w:val="00CD2665"/>
    <w:rsid w:val="00CD5323"/>
    <w:rsid w:val="00CD5874"/>
    <w:rsid w:val="00CD5F96"/>
    <w:rsid w:val="00CE13FF"/>
    <w:rsid w:val="00CE3EDB"/>
    <w:rsid w:val="00CE4A11"/>
    <w:rsid w:val="00CE5640"/>
    <w:rsid w:val="00CE6D59"/>
    <w:rsid w:val="00CF13A9"/>
    <w:rsid w:val="00CF16CA"/>
    <w:rsid w:val="00CF2045"/>
    <w:rsid w:val="00CF3265"/>
    <w:rsid w:val="00CF62FA"/>
    <w:rsid w:val="00CF7CF9"/>
    <w:rsid w:val="00D004A2"/>
    <w:rsid w:val="00D00B7A"/>
    <w:rsid w:val="00D00EE8"/>
    <w:rsid w:val="00D02B74"/>
    <w:rsid w:val="00D036E8"/>
    <w:rsid w:val="00D0560A"/>
    <w:rsid w:val="00D0667B"/>
    <w:rsid w:val="00D06D50"/>
    <w:rsid w:val="00D13124"/>
    <w:rsid w:val="00D13985"/>
    <w:rsid w:val="00D2061B"/>
    <w:rsid w:val="00D23539"/>
    <w:rsid w:val="00D23937"/>
    <w:rsid w:val="00D24601"/>
    <w:rsid w:val="00D35529"/>
    <w:rsid w:val="00D40060"/>
    <w:rsid w:val="00D41819"/>
    <w:rsid w:val="00D44088"/>
    <w:rsid w:val="00D4644B"/>
    <w:rsid w:val="00D50620"/>
    <w:rsid w:val="00D54564"/>
    <w:rsid w:val="00D554A9"/>
    <w:rsid w:val="00D556E3"/>
    <w:rsid w:val="00D649B5"/>
    <w:rsid w:val="00D70723"/>
    <w:rsid w:val="00D7185A"/>
    <w:rsid w:val="00D721BA"/>
    <w:rsid w:val="00D75A8C"/>
    <w:rsid w:val="00D7653D"/>
    <w:rsid w:val="00D77596"/>
    <w:rsid w:val="00D819FD"/>
    <w:rsid w:val="00D83458"/>
    <w:rsid w:val="00D85B38"/>
    <w:rsid w:val="00DA0F18"/>
    <w:rsid w:val="00DA3CB5"/>
    <w:rsid w:val="00DA64A0"/>
    <w:rsid w:val="00DB0BAA"/>
    <w:rsid w:val="00DB24E6"/>
    <w:rsid w:val="00DB6393"/>
    <w:rsid w:val="00DB658A"/>
    <w:rsid w:val="00DB71F4"/>
    <w:rsid w:val="00DB7331"/>
    <w:rsid w:val="00DC00EF"/>
    <w:rsid w:val="00DC05DB"/>
    <w:rsid w:val="00DC1206"/>
    <w:rsid w:val="00DC3540"/>
    <w:rsid w:val="00DC4110"/>
    <w:rsid w:val="00DC5CA0"/>
    <w:rsid w:val="00DC6D84"/>
    <w:rsid w:val="00DC7612"/>
    <w:rsid w:val="00DD2ED4"/>
    <w:rsid w:val="00DD5435"/>
    <w:rsid w:val="00DD63A5"/>
    <w:rsid w:val="00DD7041"/>
    <w:rsid w:val="00DD771D"/>
    <w:rsid w:val="00DE1945"/>
    <w:rsid w:val="00DE58AD"/>
    <w:rsid w:val="00DF1034"/>
    <w:rsid w:val="00DF24C1"/>
    <w:rsid w:val="00DF515A"/>
    <w:rsid w:val="00DF642A"/>
    <w:rsid w:val="00E00963"/>
    <w:rsid w:val="00E027C9"/>
    <w:rsid w:val="00E10B5A"/>
    <w:rsid w:val="00E11C5F"/>
    <w:rsid w:val="00E12AE7"/>
    <w:rsid w:val="00E1408C"/>
    <w:rsid w:val="00E143CE"/>
    <w:rsid w:val="00E14E2D"/>
    <w:rsid w:val="00E159CD"/>
    <w:rsid w:val="00E167BF"/>
    <w:rsid w:val="00E20021"/>
    <w:rsid w:val="00E24571"/>
    <w:rsid w:val="00E24EE0"/>
    <w:rsid w:val="00E253F6"/>
    <w:rsid w:val="00E27AA8"/>
    <w:rsid w:val="00E32FDA"/>
    <w:rsid w:val="00E35F3C"/>
    <w:rsid w:val="00E3666B"/>
    <w:rsid w:val="00E36E62"/>
    <w:rsid w:val="00E37AD5"/>
    <w:rsid w:val="00E42C42"/>
    <w:rsid w:val="00E44A54"/>
    <w:rsid w:val="00E46145"/>
    <w:rsid w:val="00E47F3A"/>
    <w:rsid w:val="00E50BC4"/>
    <w:rsid w:val="00E5172D"/>
    <w:rsid w:val="00E52B11"/>
    <w:rsid w:val="00E53842"/>
    <w:rsid w:val="00E540F7"/>
    <w:rsid w:val="00E60AC1"/>
    <w:rsid w:val="00E633BF"/>
    <w:rsid w:val="00E67BEE"/>
    <w:rsid w:val="00E71B52"/>
    <w:rsid w:val="00E73125"/>
    <w:rsid w:val="00E7438D"/>
    <w:rsid w:val="00E74480"/>
    <w:rsid w:val="00E753C8"/>
    <w:rsid w:val="00E75780"/>
    <w:rsid w:val="00E80371"/>
    <w:rsid w:val="00E82541"/>
    <w:rsid w:val="00E8493B"/>
    <w:rsid w:val="00E86FA1"/>
    <w:rsid w:val="00E93196"/>
    <w:rsid w:val="00E97748"/>
    <w:rsid w:val="00EA0A51"/>
    <w:rsid w:val="00EA0F04"/>
    <w:rsid w:val="00EA144A"/>
    <w:rsid w:val="00EA39D5"/>
    <w:rsid w:val="00EA59FE"/>
    <w:rsid w:val="00EA6241"/>
    <w:rsid w:val="00EB0736"/>
    <w:rsid w:val="00EB2FD0"/>
    <w:rsid w:val="00EB58F7"/>
    <w:rsid w:val="00EB60F7"/>
    <w:rsid w:val="00EB6840"/>
    <w:rsid w:val="00EC0B09"/>
    <w:rsid w:val="00EC16E5"/>
    <w:rsid w:val="00EC1C2E"/>
    <w:rsid w:val="00EC4450"/>
    <w:rsid w:val="00EC48A5"/>
    <w:rsid w:val="00EC51A1"/>
    <w:rsid w:val="00EC67A3"/>
    <w:rsid w:val="00ED51F8"/>
    <w:rsid w:val="00ED57D8"/>
    <w:rsid w:val="00ED5E7F"/>
    <w:rsid w:val="00ED6CB4"/>
    <w:rsid w:val="00ED7330"/>
    <w:rsid w:val="00EE2C11"/>
    <w:rsid w:val="00EE4004"/>
    <w:rsid w:val="00EE466C"/>
    <w:rsid w:val="00EE75DB"/>
    <w:rsid w:val="00EE7C25"/>
    <w:rsid w:val="00EF029C"/>
    <w:rsid w:val="00EF04B5"/>
    <w:rsid w:val="00EF0EAD"/>
    <w:rsid w:val="00EF146E"/>
    <w:rsid w:val="00EF7F15"/>
    <w:rsid w:val="00F00862"/>
    <w:rsid w:val="00F0091D"/>
    <w:rsid w:val="00F00D08"/>
    <w:rsid w:val="00F02F23"/>
    <w:rsid w:val="00F03275"/>
    <w:rsid w:val="00F0452B"/>
    <w:rsid w:val="00F105E1"/>
    <w:rsid w:val="00F1232A"/>
    <w:rsid w:val="00F13A81"/>
    <w:rsid w:val="00F14541"/>
    <w:rsid w:val="00F1458F"/>
    <w:rsid w:val="00F14622"/>
    <w:rsid w:val="00F14AC3"/>
    <w:rsid w:val="00F208E0"/>
    <w:rsid w:val="00F25510"/>
    <w:rsid w:val="00F27627"/>
    <w:rsid w:val="00F31264"/>
    <w:rsid w:val="00F32C13"/>
    <w:rsid w:val="00F3635D"/>
    <w:rsid w:val="00F37FBF"/>
    <w:rsid w:val="00F45C7D"/>
    <w:rsid w:val="00F45E05"/>
    <w:rsid w:val="00F46725"/>
    <w:rsid w:val="00F53E3F"/>
    <w:rsid w:val="00F563C0"/>
    <w:rsid w:val="00F600ED"/>
    <w:rsid w:val="00F611D6"/>
    <w:rsid w:val="00F64A05"/>
    <w:rsid w:val="00F64D77"/>
    <w:rsid w:val="00F6538E"/>
    <w:rsid w:val="00F67A9B"/>
    <w:rsid w:val="00F71C67"/>
    <w:rsid w:val="00F72B59"/>
    <w:rsid w:val="00F73071"/>
    <w:rsid w:val="00F752E4"/>
    <w:rsid w:val="00F81672"/>
    <w:rsid w:val="00F8451D"/>
    <w:rsid w:val="00F87D6E"/>
    <w:rsid w:val="00F9427C"/>
    <w:rsid w:val="00F949E2"/>
    <w:rsid w:val="00F94BB3"/>
    <w:rsid w:val="00F9531C"/>
    <w:rsid w:val="00FA08A2"/>
    <w:rsid w:val="00FA7B05"/>
    <w:rsid w:val="00FB03C6"/>
    <w:rsid w:val="00FB1AD3"/>
    <w:rsid w:val="00FB3053"/>
    <w:rsid w:val="00FB65F3"/>
    <w:rsid w:val="00FB7A99"/>
    <w:rsid w:val="00FC1483"/>
    <w:rsid w:val="00FC1717"/>
    <w:rsid w:val="00FC37B2"/>
    <w:rsid w:val="00FC3AA6"/>
    <w:rsid w:val="00FC4049"/>
    <w:rsid w:val="00FC4D3A"/>
    <w:rsid w:val="00FC5095"/>
    <w:rsid w:val="00FC6F76"/>
    <w:rsid w:val="00FD189D"/>
    <w:rsid w:val="00FD5A30"/>
    <w:rsid w:val="00FD7350"/>
    <w:rsid w:val="00FE1DD8"/>
    <w:rsid w:val="00FE3B25"/>
    <w:rsid w:val="00FE3DF6"/>
    <w:rsid w:val="00FE4493"/>
    <w:rsid w:val="00FF029E"/>
    <w:rsid w:val="00FF37E5"/>
    <w:rsid w:val="00FF3CA6"/>
    <w:rsid w:val="00FF4807"/>
    <w:rsid w:val="00FF50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3A7EB"/>
  <w15:chartTrackingRefBased/>
  <w15:docId w15:val="{CE345ADA-D6EF-4445-BEB7-9191137D8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89E"/>
    <w:pPr>
      <w:spacing w:before="100" w:after="200" w:line="276" w:lineRule="auto"/>
    </w:pPr>
    <w:rPr>
      <w:rFonts w:ascii="Times New Roman" w:eastAsiaTheme="minorEastAsia" w:hAnsi="Times New Roman"/>
      <w:sz w:val="24"/>
      <w:szCs w:val="20"/>
    </w:rPr>
  </w:style>
  <w:style w:type="paragraph" w:styleId="Heading1">
    <w:name w:val="heading 1"/>
    <w:basedOn w:val="Normal"/>
    <w:next w:val="Normal"/>
    <w:link w:val="Heading1Char"/>
    <w:uiPriority w:val="9"/>
    <w:qFormat/>
    <w:rsid w:val="00FD5A3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D5A3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D5A3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D5A3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FD5A30"/>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FD5A30"/>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D5A30"/>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D5A30"/>
    <w:pPr>
      <w:keepNext/>
      <w:keepLines/>
      <w:spacing w:before="0"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D5A30"/>
    <w:pPr>
      <w:keepNext/>
      <w:keepLines/>
      <w:spacing w:before="0"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rumpyCode">
    <w:name w:val="GrumpyCode"/>
    <w:basedOn w:val="Normal"/>
    <w:link w:val="GrumpyCodeChar"/>
    <w:autoRedefine/>
    <w:qFormat/>
    <w:rsid w:val="00B837B7"/>
    <w:rPr>
      <w:rFonts w:cs="Times New Roman"/>
      <w:b/>
      <w:color w:val="00B050"/>
    </w:rPr>
  </w:style>
  <w:style w:type="character" w:customStyle="1" w:styleId="GrumpyCodeChar">
    <w:name w:val="GrumpyCode Char"/>
    <w:basedOn w:val="DefaultParagraphFont"/>
    <w:link w:val="GrumpyCode"/>
    <w:rsid w:val="00B837B7"/>
    <w:rPr>
      <w:rFonts w:ascii="Times New Roman" w:hAnsi="Times New Roman" w:cs="Times New Roman"/>
      <w:b/>
      <w:color w:val="00B050"/>
    </w:rPr>
  </w:style>
  <w:style w:type="paragraph" w:customStyle="1" w:styleId="TSQLCodegreen">
    <w:name w:val="TSQL Code green"/>
    <w:basedOn w:val="Normal"/>
    <w:link w:val="TSQLCodegreenChar"/>
    <w:qFormat/>
    <w:rsid w:val="00F00862"/>
    <w:rPr>
      <w:rFonts w:ascii="Arial" w:eastAsiaTheme="minorHAnsi" w:hAnsi="Arial" w:cs="Times New Roman"/>
      <w:b/>
      <w:color w:val="00B050"/>
      <w:szCs w:val="24"/>
    </w:rPr>
  </w:style>
  <w:style w:type="character" w:customStyle="1" w:styleId="TSQLCodegreenChar">
    <w:name w:val="TSQL Code green Char"/>
    <w:basedOn w:val="DefaultParagraphFont"/>
    <w:link w:val="TSQLCodegreen"/>
    <w:rsid w:val="00F00862"/>
    <w:rPr>
      <w:rFonts w:ascii="Arial" w:hAnsi="Arial" w:cs="Times New Roman"/>
      <w:b/>
      <w:color w:val="00B050"/>
      <w:sz w:val="24"/>
      <w:szCs w:val="24"/>
    </w:rPr>
  </w:style>
  <w:style w:type="paragraph" w:customStyle="1" w:styleId="Code">
    <w:name w:val="Code"/>
    <w:basedOn w:val="Normal"/>
    <w:link w:val="CodeChar"/>
    <w:qFormat/>
    <w:rsid w:val="00EC4450"/>
    <w:pPr>
      <w:spacing w:before="0"/>
    </w:pPr>
    <w:rPr>
      <w:rFonts w:ascii="Arial" w:eastAsiaTheme="minorHAnsi" w:hAnsi="Arial"/>
      <w:b/>
      <w:color w:val="00B050"/>
      <w:szCs w:val="22"/>
    </w:rPr>
  </w:style>
  <w:style w:type="character" w:customStyle="1" w:styleId="CodeChar">
    <w:name w:val="Code Char"/>
    <w:basedOn w:val="DefaultParagraphFont"/>
    <w:link w:val="Code"/>
    <w:rsid w:val="00EC4450"/>
    <w:rPr>
      <w:rFonts w:ascii="Arial" w:hAnsi="Arial"/>
      <w:b/>
      <w:color w:val="00B050"/>
      <w:sz w:val="24"/>
    </w:rPr>
  </w:style>
  <w:style w:type="paragraph" w:customStyle="1" w:styleId="BookHeading3">
    <w:name w:val="Book Heading 3"/>
    <w:basedOn w:val="Title"/>
    <w:link w:val="BookHeading3Char"/>
    <w:autoRedefine/>
    <w:qFormat/>
    <w:rsid w:val="000E37DF"/>
    <w:pPr>
      <w:shd w:val="clear" w:color="auto" w:fill="00B0F0"/>
    </w:pPr>
    <w:rPr>
      <w:rFonts w:eastAsia="Times New Roman"/>
      <w:b/>
      <w:color w:val="FFFFFF" w:themeColor="background1"/>
      <w:sz w:val="36"/>
      <w:szCs w:val="36"/>
    </w:rPr>
  </w:style>
  <w:style w:type="character" w:customStyle="1" w:styleId="BookHeading3Char">
    <w:name w:val="Book Heading 3 Char"/>
    <w:basedOn w:val="TitleChar"/>
    <w:link w:val="BookHeading3"/>
    <w:rsid w:val="000E37DF"/>
    <w:rPr>
      <w:rFonts w:asciiTheme="majorHAnsi" w:eastAsia="Times New Roman" w:hAnsiTheme="majorHAnsi" w:cstheme="majorBidi"/>
      <w:b/>
      <w:color w:val="FFFFFF" w:themeColor="background1"/>
      <w:spacing w:val="-10"/>
      <w:kern w:val="28"/>
      <w:sz w:val="36"/>
      <w:szCs w:val="36"/>
      <w:shd w:val="clear" w:color="auto" w:fill="00B0F0"/>
    </w:rPr>
  </w:style>
  <w:style w:type="paragraph" w:styleId="Title">
    <w:name w:val="Title"/>
    <w:basedOn w:val="Normal"/>
    <w:next w:val="Normal"/>
    <w:link w:val="TitleChar"/>
    <w:uiPriority w:val="10"/>
    <w:qFormat/>
    <w:rsid w:val="008B1391"/>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1391"/>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FD5A3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D5A3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D5A3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D5A30"/>
    <w:rPr>
      <w:rFonts w:eastAsiaTheme="majorEastAsia" w:cstheme="majorBidi"/>
      <w:i/>
      <w:iCs/>
      <w:color w:val="0F4761" w:themeColor="accent1" w:themeShade="BF"/>
      <w:sz w:val="24"/>
      <w:szCs w:val="20"/>
    </w:rPr>
  </w:style>
  <w:style w:type="character" w:customStyle="1" w:styleId="Heading5Char">
    <w:name w:val="Heading 5 Char"/>
    <w:basedOn w:val="DefaultParagraphFont"/>
    <w:link w:val="Heading5"/>
    <w:uiPriority w:val="9"/>
    <w:semiHidden/>
    <w:rsid w:val="00FD5A30"/>
    <w:rPr>
      <w:rFonts w:eastAsiaTheme="majorEastAsia" w:cstheme="majorBidi"/>
      <w:color w:val="0F4761" w:themeColor="accent1" w:themeShade="BF"/>
      <w:sz w:val="24"/>
      <w:szCs w:val="20"/>
    </w:rPr>
  </w:style>
  <w:style w:type="character" w:customStyle="1" w:styleId="Heading6Char">
    <w:name w:val="Heading 6 Char"/>
    <w:basedOn w:val="DefaultParagraphFont"/>
    <w:link w:val="Heading6"/>
    <w:uiPriority w:val="9"/>
    <w:semiHidden/>
    <w:rsid w:val="00FD5A30"/>
    <w:rPr>
      <w:rFonts w:eastAsiaTheme="majorEastAsia" w:cstheme="majorBidi"/>
      <w:i/>
      <w:iCs/>
      <w:color w:val="595959" w:themeColor="text1" w:themeTint="A6"/>
      <w:sz w:val="24"/>
      <w:szCs w:val="20"/>
    </w:rPr>
  </w:style>
  <w:style w:type="character" w:customStyle="1" w:styleId="Heading7Char">
    <w:name w:val="Heading 7 Char"/>
    <w:basedOn w:val="DefaultParagraphFont"/>
    <w:link w:val="Heading7"/>
    <w:uiPriority w:val="9"/>
    <w:semiHidden/>
    <w:rsid w:val="00FD5A30"/>
    <w:rPr>
      <w:rFonts w:eastAsiaTheme="majorEastAsia" w:cstheme="majorBidi"/>
      <w:color w:val="595959" w:themeColor="text1" w:themeTint="A6"/>
      <w:sz w:val="24"/>
      <w:szCs w:val="20"/>
    </w:rPr>
  </w:style>
  <w:style w:type="character" w:customStyle="1" w:styleId="Heading8Char">
    <w:name w:val="Heading 8 Char"/>
    <w:basedOn w:val="DefaultParagraphFont"/>
    <w:link w:val="Heading8"/>
    <w:uiPriority w:val="9"/>
    <w:semiHidden/>
    <w:rsid w:val="00FD5A30"/>
    <w:rPr>
      <w:rFonts w:eastAsiaTheme="majorEastAsia" w:cstheme="majorBidi"/>
      <w:i/>
      <w:iCs/>
      <w:color w:val="272727" w:themeColor="text1" w:themeTint="D8"/>
      <w:sz w:val="24"/>
      <w:szCs w:val="20"/>
    </w:rPr>
  </w:style>
  <w:style w:type="character" w:customStyle="1" w:styleId="Heading9Char">
    <w:name w:val="Heading 9 Char"/>
    <w:basedOn w:val="DefaultParagraphFont"/>
    <w:link w:val="Heading9"/>
    <w:uiPriority w:val="9"/>
    <w:semiHidden/>
    <w:rsid w:val="00FD5A30"/>
    <w:rPr>
      <w:rFonts w:eastAsiaTheme="majorEastAsia" w:cstheme="majorBidi"/>
      <w:color w:val="272727" w:themeColor="text1" w:themeTint="D8"/>
      <w:sz w:val="24"/>
      <w:szCs w:val="20"/>
    </w:rPr>
  </w:style>
  <w:style w:type="paragraph" w:styleId="Subtitle">
    <w:name w:val="Subtitle"/>
    <w:basedOn w:val="Normal"/>
    <w:next w:val="Normal"/>
    <w:link w:val="SubtitleChar"/>
    <w:uiPriority w:val="11"/>
    <w:qFormat/>
    <w:rsid w:val="00FD5A3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D5A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D5A3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D5A30"/>
    <w:rPr>
      <w:rFonts w:ascii="Times New Roman" w:eastAsiaTheme="minorEastAsia" w:hAnsi="Times New Roman"/>
      <w:i/>
      <w:iCs/>
      <w:color w:val="404040" w:themeColor="text1" w:themeTint="BF"/>
      <w:sz w:val="24"/>
      <w:szCs w:val="20"/>
    </w:rPr>
  </w:style>
  <w:style w:type="paragraph" w:styleId="ListParagraph">
    <w:name w:val="List Paragraph"/>
    <w:basedOn w:val="Normal"/>
    <w:uiPriority w:val="34"/>
    <w:qFormat/>
    <w:rsid w:val="00FD5A30"/>
    <w:pPr>
      <w:ind w:left="720"/>
      <w:contextualSpacing/>
    </w:pPr>
  </w:style>
  <w:style w:type="character" w:styleId="IntenseEmphasis">
    <w:name w:val="Intense Emphasis"/>
    <w:basedOn w:val="DefaultParagraphFont"/>
    <w:uiPriority w:val="21"/>
    <w:qFormat/>
    <w:rsid w:val="00FD5A30"/>
    <w:rPr>
      <w:i/>
      <w:iCs/>
      <w:color w:val="0F4761" w:themeColor="accent1" w:themeShade="BF"/>
    </w:rPr>
  </w:style>
  <w:style w:type="paragraph" w:styleId="IntenseQuote">
    <w:name w:val="Intense Quote"/>
    <w:basedOn w:val="Normal"/>
    <w:next w:val="Normal"/>
    <w:link w:val="IntenseQuoteChar"/>
    <w:uiPriority w:val="30"/>
    <w:qFormat/>
    <w:rsid w:val="00FD5A3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D5A30"/>
    <w:rPr>
      <w:rFonts w:ascii="Times New Roman" w:eastAsiaTheme="minorEastAsia" w:hAnsi="Times New Roman"/>
      <w:i/>
      <w:iCs/>
      <w:color w:val="0F4761" w:themeColor="accent1" w:themeShade="BF"/>
      <w:sz w:val="24"/>
      <w:szCs w:val="20"/>
    </w:rPr>
  </w:style>
  <w:style w:type="character" w:styleId="IntenseReference">
    <w:name w:val="Intense Reference"/>
    <w:basedOn w:val="DefaultParagraphFont"/>
    <w:uiPriority w:val="32"/>
    <w:qFormat/>
    <w:rsid w:val="00FD5A3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1130</Words>
  <Characters>6444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Angelo</dc:creator>
  <cp:keywords/>
  <dc:description/>
  <cp:lastModifiedBy>Angelo</cp:lastModifiedBy>
  <cp:revision>3</cp:revision>
  <cp:lastPrinted>2026-05-19T19:36:00Z</cp:lastPrinted>
  <dcterms:created xsi:type="dcterms:W3CDTF">2026-05-19T19:24:00Z</dcterms:created>
  <dcterms:modified xsi:type="dcterms:W3CDTF">2026-05-19T19:44:00Z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6a880e34-6282-4a1e-a906-3689277ffdf1</vt:lpwstr>
  </property>
</Properties>
</file>